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E136C9"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136C9">
        <w:rPr>
          <w:rFonts w:ascii="Century Gothic" w:eastAsiaTheme="majorEastAsia" w:hAnsi="Century Gothic" w:cs="Calibri"/>
          <w:bCs/>
          <w:color w:val="00B050"/>
          <w:sz w:val="72"/>
          <w:szCs w:val="72"/>
          <w:lang w:eastAsia="ja-JP"/>
        </w:rPr>
        <w:t>The Linden Centre</w:t>
      </w:r>
    </w:p>
    <w:p w14:paraId="69855983" w14:textId="736CFFCB" w:rsidR="00322EF6" w:rsidRPr="00E136C9"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5BB4F79A" w14:textId="0A75FB21" w:rsidR="00C567B6" w:rsidRPr="00E136C9" w:rsidRDefault="00E136C9" w:rsidP="00C567B6">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Guest/</w:t>
      </w:r>
      <w:r w:rsidR="00C567B6" w:rsidRPr="00E136C9">
        <w:rPr>
          <w:rFonts w:ascii="Century Gothic" w:eastAsiaTheme="majorEastAsia" w:hAnsi="Century Gothic" w:cs="Arial"/>
          <w:color w:val="000000" w:themeColor="text1"/>
          <w:sz w:val="72"/>
          <w:szCs w:val="72"/>
          <w:lang w:eastAsia="ja-JP"/>
        </w:rPr>
        <w:t>Visiting Speaker Policy</w:t>
      </w:r>
    </w:p>
    <w:p w14:paraId="38ED4C57" w14:textId="02966C6B"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E136C9" w:rsidRPr="006C79BC" w14:paraId="6864CCB4"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3F6DD1" w14:textId="77777777" w:rsidR="00E136C9" w:rsidRPr="006C79BC" w:rsidRDefault="00E136C9" w:rsidP="00B0432E">
            <w:pPr>
              <w:rPr>
                <w:rFonts w:ascii="Century Gothic" w:hAnsi="Century Gothic"/>
              </w:rPr>
            </w:pPr>
            <w:r w:rsidRPr="006C79BC">
              <w:rPr>
                <w:rFonts w:ascii="Century Gothic" w:hAnsi="Century Gothic"/>
              </w:rPr>
              <w:t xml:space="preserve">Signed by: </w:t>
            </w:r>
          </w:p>
        </w:tc>
      </w:tr>
      <w:tr w:rsidR="00E136C9" w:rsidRPr="006C79BC" w14:paraId="01A1D831"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E172A" w14:textId="77777777" w:rsidR="00E136C9" w:rsidRPr="006C79BC" w:rsidRDefault="00E136C9" w:rsidP="00B0432E">
            <w:pPr>
              <w:rPr>
                <w:rFonts w:ascii="Century Gothic" w:hAnsi="Century Gothic"/>
              </w:rPr>
            </w:pPr>
          </w:p>
          <w:p w14:paraId="7D9B972C" w14:textId="77777777" w:rsidR="00E136C9" w:rsidRPr="006C79BC" w:rsidRDefault="00E136C9" w:rsidP="00B0432E">
            <w:pPr>
              <w:rPr>
                <w:rFonts w:ascii="Century Gothic" w:hAnsi="Century Gothic"/>
              </w:rPr>
            </w:pPr>
          </w:p>
          <w:p w14:paraId="550368FF"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DFDBC5" w14:textId="77777777" w:rsidR="00E136C9" w:rsidRPr="006C79BC" w:rsidRDefault="00E136C9" w:rsidP="00B0432E">
            <w:pPr>
              <w:rPr>
                <w:rFonts w:ascii="Century Gothic" w:hAnsi="Century Gothic"/>
              </w:rPr>
            </w:pPr>
          </w:p>
          <w:p w14:paraId="6CFF0C4D" w14:textId="77777777" w:rsidR="00E136C9" w:rsidRPr="006C79BC" w:rsidRDefault="00E136C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87CA01" w14:textId="77777777" w:rsidR="00E136C9" w:rsidRPr="006C79BC" w:rsidRDefault="00E136C9" w:rsidP="00B0432E">
            <w:pPr>
              <w:rPr>
                <w:rFonts w:ascii="Century Gothic" w:hAnsi="Century Gothic"/>
              </w:rPr>
            </w:pPr>
          </w:p>
          <w:p w14:paraId="675D4EB8"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r w:rsidR="00E136C9" w:rsidRPr="006C79BC" w14:paraId="0E8ECA1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EF8021" w14:textId="77777777" w:rsidR="00E136C9" w:rsidRPr="006C79BC" w:rsidRDefault="00E136C9" w:rsidP="00B0432E">
            <w:pPr>
              <w:rPr>
                <w:rFonts w:ascii="Century Gothic" w:hAnsi="Century Gothic"/>
              </w:rPr>
            </w:pPr>
          </w:p>
          <w:p w14:paraId="571351E6" w14:textId="77777777" w:rsidR="00E136C9" w:rsidRPr="006C79BC" w:rsidRDefault="00E136C9" w:rsidP="00B0432E">
            <w:pPr>
              <w:rPr>
                <w:rFonts w:ascii="Century Gothic" w:hAnsi="Century Gothic"/>
              </w:rPr>
            </w:pPr>
          </w:p>
          <w:p w14:paraId="1B39B6AE"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7B0" w14:textId="77777777" w:rsidR="00E136C9" w:rsidRPr="006C79BC" w:rsidRDefault="00E136C9" w:rsidP="00B0432E">
            <w:pPr>
              <w:rPr>
                <w:rFonts w:ascii="Century Gothic" w:hAnsi="Century Gothic"/>
              </w:rPr>
            </w:pPr>
          </w:p>
          <w:p w14:paraId="7FC2006F" w14:textId="77777777" w:rsidR="00E136C9" w:rsidRPr="006C79BC" w:rsidRDefault="00E136C9" w:rsidP="00B0432E">
            <w:pPr>
              <w:rPr>
                <w:rFonts w:ascii="Century Gothic" w:hAnsi="Century Gothic"/>
              </w:rPr>
            </w:pPr>
            <w:r w:rsidRPr="006C79BC">
              <w:rPr>
                <w:rFonts w:ascii="Century Gothic" w:hAnsi="Century Gothic"/>
              </w:rPr>
              <w:t xml:space="preserve">Chair of Management Committee </w:t>
            </w:r>
          </w:p>
          <w:p w14:paraId="509796B0" w14:textId="77777777" w:rsidR="00E136C9" w:rsidRPr="006C79BC" w:rsidRDefault="00E136C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7CBB39" w14:textId="77777777" w:rsidR="00E136C9" w:rsidRPr="006C79BC" w:rsidRDefault="00E136C9" w:rsidP="00B0432E">
            <w:pPr>
              <w:rPr>
                <w:rFonts w:ascii="Century Gothic" w:hAnsi="Century Gothic"/>
              </w:rPr>
            </w:pPr>
          </w:p>
          <w:p w14:paraId="66275904"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bl>
    <w:p w14:paraId="16EBB3D1" w14:textId="77777777" w:rsidR="00E136C9" w:rsidRPr="006C79BC" w:rsidRDefault="00E136C9" w:rsidP="00E136C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E136C9" w:rsidRPr="006C79BC" w14:paraId="4D6DF6B6"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5E1C22" w14:textId="77777777" w:rsidR="00E136C9" w:rsidRPr="006C79BC" w:rsidRDefault="00E136C9" w:rsidP="00B0432E">
            <w:pPr>
              <w:rPr>
                <w:rFonts w:ascii="Century Gothic" w:hAnsi="Century Gothic"/>
              </w:rPr>
            </w:pPr>
          </w:p>
          <w:p w14:paraId="146A41EF" w14:textId="77777777" w:rsidR="00E136C9" w:rsidRPr="006C79BC" w:rsidRDefault="00E136C9" w:rsidP="00B0432E">
            <w:pPr>
              <w:rPr>
                <w:rFonts w:ascii="Century Gothic" w:hAnsi="Century Gothic"/>
              </w:rPr>
            </w:pPr>
            <w:r w:rsidRPr="006C79BC">
              <w:rPr>
                <w:rFonts w:ascii="Century Gothic" w:hAnsi="Century Gothic"/>
              </w:rPr>
              <w:t>Last Updated</w:t>
            </w:r>
          </w:p>
          <w:p w14:paraId="4B7031C9" w14:textId="77777777" w:rsidR="00E136C9" w:rsidRPr="006C79BC" w:rsidRDefault="00E136C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32BC32" w14:textId="77777777" w:rsidR="00E136C9" w:rsidRPr="006C79BC" w:rsidRDefault="00E136C9" w:rsidP="00B0432E">
            <w:pPr>
              <w:rPr>
                <w:rFonts w:ascii="Century Gothic" w:hAnsi="Century Gothic"/>
              </w:rPr>
            </w:pPr>
          </w:p>
          <w:p w14:paraId="776A8B46" w14:textId="03C45EB4" w:rsidR="00E136C9" w:rsidRPr="006C79BC" w:rsidRDefault="00E136C9" w:rsidP="00B0432E">
            <w:pPr>
              <w:rPr>
                <w:rFonts w:ascii="Century Gothic" w:hAnsi="Century Gothic"/>
              </w:rPr>
            </w:pPr>
            <w:r w:rsidRPr="006C79BC">
              <w:rPr>
                <w:rFonts w:ascii="Century Gothic" w:hAnsi="Century Gothic"/>
              </w:rPr>
              <w:t xml:space="preserve"> </w:t>
            </w:r>
            <w:r w:rsidR="00CE280B">
              <w:rPr>
                <w:rFonts w:ascii="Century Gothic" w:hAnsi="Century Gothic"/>
              </w:rPr>
              <w:t>08</w:t>
            </w:r>
            <w:r w:rsidR="00CE280B" w:rsidRPr="00CE280B">
              <w:rPr>
                <w:rFonts w:ascii="Century Gothic" w:hAnsi="Century Gothic"/>
                <w:vertAlign w:val="superscript"/>
              </w:rPr>
              <w:t>th</w:t>
            </w:r>
            <w:r w:rsidR="00CE280B">
              <w:rPr>
                <w:rFonts w:ascii="Century Gothic" w:hAnsi="Century Gothic"/>
              </w:rPr>
              <w:t xml:space="preserve"> February 2021</w:t>
            </w:r>
          </w:p>
        </w:tc>
      </w:tr>
      <w:tr w:rsidR="00E136C9" w:rsidRPr="006C79BC" w14:paraId="4161D7F9"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9E8EBE" w14:textId="77777777" w:rsidR="00E136C9" w:rsidRPr="006C79BC" w:rsidRDefault="00E136C9" w:rsidP="00B0432E">
            <w:pPr>
              <w:rPr>
                <w:rFonts w:ascii="Century Gothic" w:hAnsi="Century Gothic"/>
              </w:rPr>
            </w:pPr>
          </w:p>
          <w:p w14:paraId="73D6D4B4" w14:textId="77777777" w:rsidR="00E136C9" w:rsidRPr="006C79BC" w:rsidRDefault="00E136C9" w:rsidP="00B0432E">
            <w:pPr>
              <w:rPr>
                <w:rFonts w:ascii="Century Gothic" w:hAnsi="Century Gothic"/>
              </w:rPr>
            </w:pPr>
            <w:r w:rsidRPr="006C79BC">
              <w:rPr>
                <w:rFonts w:ascii="Century Gothic" w:hAnsi="Century Gothic"/>
              </w:rPr>
              <w:t>Review Due:</w:t>
            </w:r>
          </w:p>
          <w:p w14:paraId="13AAFAC0" w14:textId="77777777" w:rsidR="00E136C9" w:rsidRPr="006C79BC" w:rsidRDefault="00E136C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6246E2" w14:textId="77777777" w:rsidR="00E136C9" w:rsidRPr="006C79BC" w:rsidRDefault="00E136C9" w:rsidP="00B0432E">
            <w:pPr>
              <w:rPr>
                <w:rFonts w:ascii="Century Gothic" w:hAnsi="Century Gothic"/>
              </w:rPr>
            </w:pPr>
          </w:p>
          <w:p w14:paraId="63DD71C1" w14:textId="18D09763" w:rsidR="00E136C9" w:rsidRPr="006C79BC" w:rsidRDefault="00CE280B" w:rsidP="00CE280B">
            <w:pPr>
              <w:rPr>
                <w:rFonts w:ascii="Century Gothic" w:hAnsi="Century Gothic"/>
              </w:rPr>
            </w:pPr>
            <w:r>
              <w:rPr>
                <w:rFonts w:ascii="Century Gothic" w:hAnsi="Century Gothic"/>
              </w:rPr>
              <w:t>08</w:t>
            </w:r>
            <w:r w:rsidRPr="00CE280B">
              <w:rPr>
                <w:rFonts w:ascii="Century Gothic" w:hAnsi="Century Gothic"/>
                <w:vertAlign w:val="superscript"/>
              </w:rPr>
              <w:t>th</w:t>
            </w:r>
            <w:r>
              <w:rPr>
                <w:rFonts w:ascii="Century Gothic" w:hAnsi="Century Gothic"/>
              </w:rPr>
              <w:t xml:space="preserve"> February 2023</w:t>
            </w:r>
          </w:p>
        </w:tc>
      </w:tr>
    </w:tbl>
    <w:p w14:paraId="463CFAF6" w14:textId="35F9F7F4" w:rsidR="00322EF6" w:rsidRDefault="00322EF6">
      <w:pPr>
        <w:rPr>
          <w:rFonts w:cs="Arial"/>
          <w:b/>
          <w:sz w:val="32"/>
        </w:rPr>
      </w:pPr>
    </w:p>
    <w:p w14:paraId="48F92C6C" w14:textId="77777777" w:rsidR="00E136C9" w:rsidRDefault="00E136C9">
      <w:pPr>
        <w:rPr>
          <w:rFonts w:cs="Arial"/>
          <w:b/>
          <w:sz w:val="32"/>
        </w:rPr>
      </w:pPr>
    </w:p>
    <w:p w14:paraId="58E7BC1B" w14:textId="00C5FB0E" w:rsidR="00A23725" w:rsidRPr="00A73EC9" w:rsidRDefault="00A23725" w:rsidP="00A73EC9">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2EE6FFBA" w14:textId="30B8CEDA" w:rsidR="00C567B6"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2377" w:history="1">
        <w:r w:rsidR="00C567B6" w:rsidRPr="0094694D">
          <w:rPr>
            <w:rStyle w:val="Hyperlink"/>
            <w:noProof/>
          </w:rPr>
          <w:t>1.</w:t>
        </w:r>
        <w:r w:rsidR="00C567B6">
          <w:rPr>
            <w:rFonts w:eastAsiaTheme="minorEastAsia" w:cstheme="minorBidi"/>
            <w:b w:val="0"/>
            <w:bCs w:val="0"/>
            <w:i w:val="0"/>
            <w:iCs w:val="0"/>
            <w:noProof/>
            <w:sz w:val="22"/>
            <w:szCs w:val="22"/>
            <w:lang w:eastAsia="en-GB"/>
          </w:rPr>
          <w:tab/>
        </w:r>
        <w:r w:rsidR="00C567B6" w:rsidRPr="0094694D">
          <w:rPr>
            <w:rStyle w:val="Hyperlink"/>
            <w:noProof/>
          </w:rPr>
          <w:t>Key aspects of the visiting speakers’ policy will include:</w:t>
        </w:r>
        <w:r w:rsidR="00C567B6">
          <w:rPr>
            <w:noProof/>
            <w:webHidden/>
          </w:rPr>
          <w:tab/>
        </w:r>
        <w:r w:rsidR="00C567B6">
          <w:rPr>
            <w:noProof/>
            <w:webHidden/>
          </w:rPr>
          <w:fldChar w:fldCharType="begin"/>
        </w:r>
        <w:r w:rsidR="00C567B6">
          <w:rPr>
            <w:noProof/>
            <w:webHidden/>
          </w:rPr>
          <w:instrText xml:space="preserve"> PAGEREF _Toc59472377 \h </w:instrText>
        </w:r>
        <w:r w:rsidR="00C567B6">
          <w:rPr>
            <w:noProof/>
            <w:webHidden/>
          </w:rPr>
        </w:r>
        <w:r w:rsidR="00C567B6">
          <w:rPr>
            <w:noProof/>
            <w:webHidden/>
          </w:rPr>
          <w:fldChar w:fldCharType="separate"/>
        </w:r>
        <w:r w:rsidR="00C567B6">
          <w:rPr>
            <w:noProof/>
            <w:webHidden/>
          </w:rPr>
          <w:t>2</w:t>
        </w:r>
        <w:r w:rsidR="00C567B6">
          <w:rPr>
            <w:noProof/>
            <w:webHidden/>
          </w:rPr>
          <w:fldChar w:fldCharType="end"/>
        </w:r>
      </w:hyperlink>
    </w:p>
    <w:p w14:paraId="1B62E2A3" w14:textId="6EED500B" w:rsidR="00A23725" w:rsidRPr="00F7739F" w:rsidRDefault="00F7739F" w:rsidP="00B64560">
      <w:pPr>
        <w:rPr>
          <w:rFonts w:cs="Arial"/>
          <w:color w:val="0000FF"/>
          <w:u w:val="single"/>
        </w:rPr>
      </w:pPr>
      <w:r>
        <w:rPr>
          <w:rFonts w:cs="Arial"/>
          <w:sz w:val="32"/>
          <w:szCs w:val="32"/>
        </w:rPr>
        <w:fldChar w:fldCharType="end"/>
      </w:r>
      <w:r w:rsidR="00A23725" w:rsidRPr="00F165AD">
        <w:rPr>
          <w:rFonts w:cs="Arial"/>
          <w:sz w:val="32"/>
          <w:szCs w:val="32"/>
        </w:rPr>
        <w:br w:type="page"/>
      </w:r>
    </w:p>
    <w:p w14:paraId="44E65DE7" w14:textId="77777777" w:rsidR="00C567B6" w:rsidRPr="00E136C9" w:rsidRDefault="00C567B6" w:rsidP="00C567B6">
      <w:pPr>
        <w:pStyle w:val="Heading10"/>
        <w:keepNext/>
        <w:keepLines/>
        <w:numPr>
          <w:ilvl w:val="0"/>
          <w:numId w:val="38"/>
        </w:numPr>
        <w:spacing w:before="240" w:after="0" w:line="360" w:lineRule="auto"/>
        <w:ind w:right="0"/>
        <w:contextualSpacing w:val="0"/>
        <w:jc w:val="both"/>
        <w:rPr>
          <w:rFonts w:ascii="Century Gothic" w:hAnsi="Century Gothic"/>
        </w:rPr>
      </w:pPr>
      <w:bookmarkStart w:id="4" w:name="_Toc55740310"/>
      <w:bookmarkStart w:id="5" w:name="_Toc59472377"/>
      <w:r w:rsidRPr="00E136C9">
        <w:rPr>
          <w:rFonts w:ascii="Century Gothic" w:hAnsi="Century Gothic"/>
        </w:rPr>
        <w:lastRenderedPageBreak/>
        <w:t>Key aspects of the visiting speakers’ policy will include:</w:t>
      </w:r>
      <w:bookmarkEnd w:id="4"/>
      <w:bookmarkEnd w:id="5"/>
    </w:p>
    <w:p w14:paraId="13A03AEA"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formal procedure for inviting speakers, which involves approval by the headteacher and a clear understanding of why the speaker has been chosen</w:t>
      </w:r>
    </w:p>
    <w:p w14:paraId="0500D271" w14:textId="77777777" w:rsidR="00C567B6" w:rsidRPr="00E136C9" w:rsidRDefault="00C567B6" w:rsidP="00C567B6">
      <w:pPr>
        <w:pStyle w:val="ListParagraph"/>
        <w:spacing w:line="360" w:lineRule="auto"/>
        <w:ind w:left="792"/>
        <w:jc w:val="both"/>
        <w:rPr>
          <w:rFonts w:ascii="Century Gothic" w:hAnsi="Century Gothic"/>
        </w:rPr>
      </w:pPr>
    </w:p>
    <w:p w14:paraId="0B95EBB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list of appropriate checks on the suitability of the person, which may include internet searches and/or contacting other schools where the person has spoken previously</w:t>
      </w:r>
    </w:p>
    <w:p w14:paraId="11802A24" w14:textId="77777777" w:rsidR="00C567B6" w:rsidRPr="00E136C9" w:rsidRDefault="00C567B6" w:rsidP="00C567B6">
      <w:pPr>
        <w:pStyle w:val="ListParagraph"/>
        <w:spacing w:line="360" w:lineRule="auto"/>
        <w:jc w:val="both"/>
        <w:rPr>
          <w:rFonts w:ascii="Century Gothic" w:hAnsi="Century Gothic"/>
        </w:rPr>
      </w:pPr>
    </w:p>
    <w:p w14:paraId="7CDD611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Although not always possible, it is useful to invite speakers from an established company, charity, or other group whose aims are well-documented</w:t>
      </w:r>
    </w:p>
    <w:p w14:paraId="53E1E001" w14:textId="77777777" w:rsidR="00C567B6" w:rsidRPr="00E136C9" w:rsidRDefault="00C567B6" w:rsidP="00C567B6">
      <w:pPr>
        <w:pStyle w:val="ListParagraph"/>
        <w:spacing w:line="360" w:lineRule="auto"/>
        <w:jc w:val="both"/>
        <w:rPr>
          <w:rFonts w:ascii="Century Gothic" w:hAnsi="Century Gothic"/>
        </w:rPr>
      </w:pPr>
    </w:p>
    <w:p w14:paraId="1B5B78EE"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document for the speaker to read and sign, to ensure that they understand they must abide by the school’s equality commitments; that there must be no statements which might cause offence to others, or otherwise undermine tolerance of other faiths or beliefs; and there must be no extremist material.</w:t>
      </w:r>
    </w:p>
    <w:p w14:paraId="1F3B11E3" w14:textId="77777777" w:rsidR="00C567B6" w:rsidRPr="00E136C9" w:rsidRDefault="00C567B6" w:rsidP="00C567B6">
      <w:pPr>
        <w:pStyle w:val="ListParagraph"/>
        <w:spacing w:line="360" w:lineRule="auto"/>
        <w:jc w:val="both"/>
        <w:rPr>
          <w:rFonts w:ascii="Century Gothic" w:hAnsi="Century Gothic"/>
        </w:rPr>
      </w:pPr>
    </w:p>
    <w:p w14:paraId="3829F99F"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the speaker will be expected to talk with staff about the content of the presentation before the event; speakers and staff must allow time for this discussion, whether it is on the day or beforehand</w:t>
      </w:r>
    </w:p>
    <w:p w14:paraId="3D5A1F87" w14:textId="77777777" w:rsidR="00C567B6" w:rsidRPr="00E136C9" w:rsidRDefault="00C567B6" w:rsidP="00C567B6">
      <w:pPr>
        <w:pStyle w:val="ListParagraph"/>
        <w:spacing w:line="360" w:lineRule="auto"/>
        <w:jc w:val="both"/>
        <w:rPr>
          <w:rFonts w:ascii="Century Gothic" w:hAnsi="Century Gothic"/>
        </w:rPr>
      </w:pPr>
    </w:p>
    <w:p w14:paraId="457864EB"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such talks and presentations will not be used to raise funds, without the prior written permission of the headteacher</w:t>
      </w:r>
    </w:p>
    <w:p w14:paraId="36C47446" w14:textId="77777777" w:rsidR="00C567B6" w:rsidRPr="00E136C9" w:rsidRDefault="00C567B6" w:rsidP="00C567B6">
      <w:pPr>
        <w:pStyle w:val="ListParagraph"/>
        <w:spacing w:line="360" w:lineRule="auto"/>
        <w:jc w:val="both"/>
        <w:rPr>
          <w:rFonts w:ascii="Century Gothic" w:hAnsi="Century Gothic"/>
        </w:rPr>
      </w:pPr>
    </w:p>
    <w:p w14:paraId="29AD604C"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must arrive at reception in good time to book in and must bring suitable identification. Although viewing DBS certificates may be appropriate, most visiting speakers will not be in ‘regulated activity’ and so will not necessarily have a DBS certificate to present</w:t>
      </w:r>
    </w:p>
    <w:p w14:paraId="7B54064B" w14:textId="77777777" w:rsidR="00C567B6" w:rsidRPr="00E136C9" w:rsidRDefault="00C567B6" w:rsidP="00C567B6">
      <w:pPr>
        <w:pStyle w:val="ListParagraph"/>
        <w:spacing w:line="360" w:lineRule="auto"/>
        <w:jc w:val="both"/>
        <w:rPr>
          <w:rFonts w:ascii="Century Gothic" w:hAnsi="Century Gothic"/>
        </w:rPr>
      </w:pPr>
    </w:p>
    <w:p w14:paraId="61825E69"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Visitors must always be supervised and not left alone with pupils unless they have confirmed DBS checks.</w:t>
      </w:r>
    </w:p>
    <w:p w14:paraId="616CC306" w14:textId="77777777" w:rsidR="00C567B6" w:rsidRPr="00E136C9" w:rsidRDefault="00C567B6" w:rsidP="00C567B6">
      <w:pPr>
        <w:pStyle w:val="ListParagraph"/>
        <w:spacing w:line="360" w:lineRule="auto"/>
        <w:jc w:val="both"/>
        <w:rPr>
          <w:rFonts w:ascii="Century Gothic" w:hAnsi="Century Gothic"/>
        </w:rPr>
      </w:pPr>
    </w:p>
    <w:p w14:paraId="2482B810"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should understand that their presentation will be brought to an early end, if the content proves unsuitable.</w:t>
      </w:r>
    </w:p>
    <w:p w14:paraId="45DC1375" w14:textId="77777777" w:rsidR="00C567B6" w:rsidRPr="00E136C9" w:rsidRDefault="00C567B6" w:rsidP="00C567B6">
      <w:pPr>
        <w:pStyle w:val="ListParagraph"/>
        <w:spacing w:line="360" w:lineRule="auto"/>
        <w:jc w:val="both"/>
        <w:rPr>
          <w:rFonts w:ascii="Century Gothic" w:hAnsi="Century Gothic"/>
        </w:rPr>
      </w:pPr>
    </w:p>
    <w:p w14:paraId="26E33A9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lastRenderedPageBreak/>
        <w:t>All information about the visiting speaker and the booking process should be recorded on a suitable proforma</w:t>
      </w:r>
    </w:p>
    <w:p w14:paraId="764B401D" w14:textId="77777777" w:rsidR="00C567B6" w:rsidRPr="00E136C9" w:rsidRDefault="00C567B6" w:rsidP="00C567B6">
      <w:pPr>
        <w:pStyle w:val="ListParagraph"/>
        <w:spacing w:line="360" w:lineRule="auto"/>
        <w:jc w:val="both"/>
        <w:rPr>
          <w:rFonts w:ascii="Century Gothic" w:hAnsi="Century Gothic"/>
        </w:rPr>
      </w:pPr>
    </w:p>
    <w:p w14:paraId="3FE79E8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After the presentation, an evaluation form should be completed which will include feedback from staff, note any contentious subject areas or comments, and state whether the speaker could be booked again in the future. Once a person has visited a school, future checks should be proportionate.</w:t>
      </w:r>
    </w:p>
    <w:p w14:paraId="33B8B260" w14:textId="77777777" w:rsidR="00C567B6" w:rsidRPr="00E136C9" w:rsidRDefault="00C567B6" w:rsidP="00C567B6">
      <w:pPr>
        <w:pStyle w:val="ListParagraph"/>
        <w:spacing w:line="360" w:lineRule="auto"/>
        <w:jc w:val="both"/>
        <w:rPr>
          <w:rFonts w:ascii="Century Gothic" w:hAnsi="Century Gothic"/>
        </w:rPr>
      </w:pPr>
    </w:p>
    <w:p w14:paraId="4F9FDBD9" w14:textId="77777777" w:rsidR="00C567B6" w:rsidRDefault="00C567B6" w:rsidP="00C567B6">
      <w:pPr>
        <w:pStyle w:val="ListParagraph"/>
        <w:numPr>
          <w:ilvl w:val="1"/>
          <w:numId w:val="38"/>
        </w:numPr>
        <w:spacing w:line="360" w:lineRule="auto"/>
        <w:jc w:val="both"/>
      </w:pPr>
      <w:r w:rsidRPr="00E136C9">
        <w:rPr>
          <w:rFonts w:ascii="Century Gothic" w:hAnsi="Century Gothic"/>
        </w:rPr>
        <w:t xml:space="preserve">In 2018, the UK Council for Child Internet Safety (UKCCIS) published ‘Using External Visitors to Support Online Safety Education‘ which includes a useful checklist </w:t>
      </w:r>
      <w:r w:rsidRPr="00E136C9">
        <w:rPr>
          <w:rFonts w:ascii="Century Gothic" w:hAnsi="Century Gothic"/>
        </w:rPr>
        <w:br/>
      </w:r>
      <w:r>
        <w:br/>
      </w:r>
      <w:hyperlink r:id="rId9" w:history="1">
        <w:r w:rsidRPr="00A62218">
          <w:rPr>
            <w:rStyle w:val="Hyperlink"/>
          </w:rPr>
          <w:t>https://www.gov.uk/government/publications/using-external-visitors-to-support-online-safety-education-guidance-for-educational-settings</w:t>
        </w:r>
      </w:hyperlink>
    </w:p>
    <w:p w14:paraId="42C1FEE8" w14:textId="77777777" w:rsidR="00C567B6" w:rsidRDefault="00C567B6" w:rsidP="00C567B6"/>
    <w:p w14:paraId="2BD463B9" w14:textId="3C577679" w:rsidR="0016046D" w:rsidRPr="00714C42" w:rsidRDefault="0016046D" w:rsidP="00C36D73">
      <w:pPr>
        <w:rPr>
          <w:rFonts w:asciiTheme="minorHAnsi" w:hAnsiTheme="minorHAnsi" w:cstheme="minorHAnsi"/>
          <w:szCs w:val="32"/>
        </w:rPr>
      </w:pPr>
    </w:p>
    <w:sectPr w:rsidR="0016046D" w:rsidRPr="00714C42" w:rsidSect="001E7BAB">
      <w:headerReference w:type="default" r:id="rId10"/>
      <w:headerReference w:type="first" r:id="rId11"/>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2AB532-9AB9-4B96-821A-CF8E1AB55C85}"/>
  </w:font>
  <w:font w:name="Calibri">
    <w:panose1 w:val="020F0502020204030204"/>
    <w:charset w:val="00"/>
    <w:family w:val="swiss"/>
    <w:pitch w:val="variable"/>
    <w:sig w:usb0="E4002EFF" w:usb1="C000247B" w:usb2="00000009" w:usb3="00000000" w:csb0="000001FF" w:csb1="00000000"/>
    <w:embedRegular r:id="rId2" w:fontKey="{6BB2CBBA-B2F5-4E4E-803D-696A813EBA2A}"/>
    <w:embedBold r:id="rId3" w:fontKey="{946F4702-4DA8-4142-806A-A9DE09ED7290}"/>
  </w:font>
  <w:font w:name="Century Gothic">
    <w:panose1 w:val="020B0502020202020204"/>
    <w:charset w:val="00"/>
    <w:family w:val="swiss"/>
    <w:pitch w:val="variable"/>
    <w:sig w:usb0="00000287" w:usb1="00000000" w:usb2="00000000" w:usb3="00000000" w:csb0="0000009F" w:csb1="00000000"/>
    <w:embedRegular r:id="rId4" w:fontKey="{46FE9345-F580-4D59-A6FF-5BFA0B9937CB}"/>
    <w:embedBold r:id="rId5" w:fontKey="{E705E431-E476-4CE5-A38D-EFABCC58CE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EB80D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7"/>
  </w:num>
  <w:num w:numId="2">
    <w:abstractNumId w:val="30"/>
  </w:num>
  <w:num w:numId="3">
    <w:abstractNumId w:val="17"/>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2"/>
  </w:num>
  <w:num w:numId="10">
    <w:abstractNumId w:val="4"/>
  </w:num>
  <w:num w:numId="11">
    <w:abstractNumId w:val="13"/>
  </w:num>
  <w:num w:numId="12">
    <w:abstractNumId w:val="32"/>
  </w:num>
  <w:num w:numId="13">
    <w:abstractNumId w:val="33"/>
  </w:num>
  <w:num w:numId="14">
    <w:abstractNumId w:val="19"/>
  </w:num>
  <w:num w:numId="15">
    <w:abstractNumId w:val="8"/>
  </w:num>
  <w:num w:numId="16">
    <w:abstractNumId w:val="2"/>
  </w:num>
  <w:num w:numId="17">
    <w:abstractNumId w:val="7"/>
  </w:num>
  <w:num w:numId="18">
    <w:abstractNumId w:val="16"/>
  </w:num>
  <w:num w:numId="19">
    <w:abstractNumId w:val="12"/>
  </w:num>
  <w:num w:numId="20">
    <w:abstractNumId w:val="24"/>
  </w:num>
  <w:num w:numId="21">
    <w:abstractNumId w:val="3"/>
  </w:num>
  <w:num w:numId="22">
    <w:abstractNumId w:val="20"/>
  </w:num>
  <w:num w:numId="23">
    <w:abstractNumId w:val="1"/>
  </w:num>
  <w:num w:numId="24">
    <w:abstractNumId w:val="26"/>
  </w:num>
  <w:num w:numId="25">
    <w:abstractNumId w:val="29"/>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8"/>
  </w:num>
  <w:num w:numId="28">
    <w:abstractNumId w:val="25"/>
  </w:num>
  <w:num w:numId="29">
    <w:abstractNumId w:val="9"/>
  </w:num>
  <w:num w:numId="30">
    <w:abstractNumId w:val="6"/>
  </w:num>
  <w:num w:numId="31">
    <w:abstractNumId w:val="28"/>
  </w:num>
  <w:num w:numId="32">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5"/>
  </w:num>
  <w:num w:numId="34">
    <w:abstractNumId w:val="15"/>
  </w:num>
  <w:num w:numId="35">
    <w:abstractNumId w:val="10"/>
  </w:num>
  <w:num w:numId="36">
    <w:abstractNumId w:val="31"/>
  </w:num>
  <w:num w:numId="37">
    <w:abstractNumId w:val="11"/>
  </w:num>
  <w:num w:numId="38">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67B6"/>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80B"/>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36C9"/>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using-external-visitors-to-support-online-safety-education-guidance-for-educational-settin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4</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dcterms:created xsi:type="dcterms:W3CDTF">2020-12-30T11:21:00Z</dcterms:created>
  <dcterms:modified xsi:type="dcterms:W3CDTF">2021-02-12T15:44:00Z</dcterms:modified>
</cp:coreProperties>
</file>