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3AC21" w14:textId="28510C05" w:rsidR="00134173" w:rsidRPr="002B43AE" w:rsidRDefault="00134173" w:rsidP="00CF1E70">
      <w:pPr>
        <w:jc w:val="both"/>
        <w:rPr>
          <w:color w:val="003399"/>
          <w:szCs w:val="24"/>
        </w:rPr>
      </w:pPr>
    </w:p>
    <w:p w14:paraId="3F6F6E57" w14:textId="728841E3" w:rsidR="00134173" w:rsidRPr="002B43AE" w:rsidRDefault="00134173" w:rsidP="00CF1E70">
      <w:pPr>
        <w:jc w:val="both"/>
        <w:rPr>
          <w:color w:val="003399"/>
          <w:szCs w:val="24"/>
        </w:rPr>
      </w:pPr>
    </w:p>
    <w:p w14:paraId="30E8DF4A" w14:textId="2F2DB15F" w:rsidR="00134173" w:rsidRPr="002B43AE" w:rsidRDefault="00134173" w:rsidP="00CF1E70">
      <w:pPr>
        <w:jc w:val="both"/>
        <w:rPr>
          <w:color w:val="003399"/>
          <w:szCs w:val="24"/>
        </w:rPr>
      </w:pPr>
    </w:p>
    <w:p w14:paraId="06FA5498" w14:textId="334EACD7" w:rsidR="002B43AE" w:rsidRDefault="002B43AE" w:rsidP="00CF1E70">
      <w:pPr>
        <w:jc w:val="both"/>
        <w:rPr>
          <w:color w:val="003399"/>
          <w:szCs w:val="24"/>
        </w:rPr>
      </w:pPr>
    </w:p>
    <w:p w14:paraId="6C497BBC" w14:textId="5A1CCE03" w:rsidR="002B43AE" w:rsidRDefault="002B43AE" w:rsidP="00CF1E70">
      <w:pPr>
        <w:jc w:val="both"/>
        <w:rPr>
          <w:color w:val="003399"/>
          <w:szCs w:val="24"/>
        </w:rPr>
      </w:pPr>
    </w:p>
    <w:p w14:paraId="5603508D" w14:textId="77777777" w:rsidR="007C0C8C" w:rsidRDefault="007C0C8C" w:rsidP="00CF1E70">
      <w:pPr>
        <w:jc w:val="both"/>
        <w:rPr>
          <w:color w:val="003399"/>
          <w:szCs w:val="24"/>
        </w:rPr>
      </w:pPr>
    </w:p>
    <w:p w14:paraId="2B578A7F" w14:textId="5868E3FB" w:rsidR="002B43AE" w:rsidRDefault="002B43AE" w:rsidP="00CF1E70">
      <w:pPr>
        <w:jc w:val="both"/>
        <w:rPr>
          <w:color w:val="003399"/>
          <w:szCs w:val="24"/>
        </w:rPr>
      </w:pPr>
    </w:p>
    <w:p w14:paraId="4AFEF6B7" w14:textId="5118AE8C" w:rsidR="002B43AE" w:rsidRDefault="002B43AE" w:rsidP="00CF1E70">
      <w:pPr>
        <w:jc w:val="both"/>
        <w:rPr>
          <w:color w:val="003399"/>
          <w:szCs w:val="24"/>
        </w:rPr>
      </w:pPr>
    </w:p>
    <w:p w14:paraId="3AED13D7" w14:textId="77777777" w:rsidR="005977EF" w:rsidRDefault="005977EF" w:rsidP="00CF1E70">
      <w:pPr>
        <w:jc w:val="both"/>
        <w:rPr>
          <w:color w:val="003399"/>
          <w:szCs w:val="24"/>
        </w:rPr>
      </w:pPr>
    </w:p>
    <w:p w14:paraId="1A19D8E8" w14:textId="6CA2E93C" w:rsidR="002B43AE" w:rsidRDefault="002B43AE" w:rsidP="00CF1E70">
      <w:pPr>
        <w:jc w:val="both"/>
        <w:rPr>
          <w:color w:val="003399"/>
          <w:szCs w:val="24"/>
        </w:rPr>
      </w:pPr>
    </w:p>
    <w:p w14:paraId="40DAA266" w14:textId="1E9509C9" w:rsidR="002B43AE" w:rsidRDefault="002B43AE" w:rsidP="00CF1E70">
      <w:pPr>
        <w:jc w:val="both"/>
        <w:rPr>
          <w:color w:val="003399"/>
          <w:szCs w:val="24"/>
        </w:rPr>
      </w:pPr>
    </w:p>
    <w:p w14:paraId="56A5189E" w14:textId="16AE52DF" w:rsidR="002B43AE" w:rsidRDefault="002B43AE" w:rsidP="00CF1E70">
      <w:pPr>
        <w:jc w:val="both"/>
        <w:rPr>
          <w:color w:val="003399"/>
          <w:szCs w:val="24"/>
        </w:rPr>
      </w:pPr>
    </w:p>
    <w:p w14:paraId="38ADF6F3" w14:textId="04E79C20" w:rsidR="002B43AE" w:rsidRDefault="002B43AE" w:rsidP="00CF1E70">
      <w:pPr>
        <w:jc w:val="both"/>
        <w:rPr>
          <w:color w:val="003399"/>
          <w:szCs w:val="24"/>
        </w:rPr>
      </w:pPr>
    </w:p>
    <w:p w14:paraId="445D34EB" w14:textId="77777777" w:rsidR="002B43AE" w:rsidRPr="002B43AE" w:rsidRDefault="002B43AE" w:rsidP="00CF1E70">
      <w:pPr>
        <w:jc w:val="both"/>
        <w:rPr>
          <w:color w:val="003399"/>
          <w:szCs w:val="24"/>
        </w:rPr>
      </w:pPr>
    </w:p>
    <w:p w14:paraId="70CAF1FF" w14:textId="33F27BA8" w:rsidR="002733F6" w:rsidRPr="00172CF5" w:rsidRDefault="005E378D" w:rsidP="00E846FC">
      <w:pPr>
        <w:spacing w:line="276" w:lineRule="auto"/>
        <w:rPr>
          <w:b/>
          <w:color w:val="003399"/>
          <w:sz w:val="72"/>
          <w:szCs w:val="72"/>
        </w:rPr>
      </w:pPr>
      <w:r>
        <w:rPr>
          <w:b/>
          <w:color w:val="003399"/>
          <w:sz w:val="72"/>
          <w:szCs w:val="72"/>
        </w:rPr>
        <w:t>WHISTLEBLOWING</w:t>
      </w:r>
      <w:r w:rsidR="006E73A1">
        <w:rPr>
          <w:b/>
          <w:color w:val="003399"/>
          <w:sz w:val="72"/>
          <w:szCs w:val="72"/>
        </w:rPr>
        <w:t xml:space="preserve"> POLICY</w:t>
      </w:r>
      <w:r w:rsidR="0085438F" w:rsidRPr="00172CF5">
        <w:rPr>
          <w:b/>
          <w:color w:val="003399"/>
          <w:sz w:val="72"/>
          <w:szCs w:val="72"/>
        </w:rPr>
        <w:t xml:space="preserve"> (</w:t>
      </w:r>
      <w:r w:rsidR="00E846FC">
        <w:rPr>
          <w:b/>
          <w:color w:val="003399"/>
          <w:sz w:val="72"/>
          <w:szCs w:val="72"/>
        </w:rPr>
        <w:t>E</w:t>
      </w:r>
      <w:r w:rsidR="0085438F" w:rsidRPr="00172CF5">
        <w:rPr>
          <w:b/>
          <w:color w:val="003399"/>
          <w:sz w:val="72"/>
          <w:szCs w:val="72"/>
        </w:rPr>
        <w:t>xams)</w:t>
      </w:r>
    </w:p>
    <w:p w14:paraId="34B2B4DB" w14:textId="6F522FF3" w:rsidR="00134173" w:rsidRPr="00172CF5" w:rsidRDefault="00134173" w:rsidP="00E846FC">
      <w:pPr>
        <w:rPr>
          <w:b/>
          <w:color w:val="FF3300"/>
          <w:sz w:val="72"/>
          <w:szCs w:val="72"/>
        </w:rPr>
      </w:pPr>
      <w:r w:rsidRPr="005E378D">
        <w:rPr>
          <w:color w:val="FF3300"/>
          <w:sz w:val="72"/>
          <w:szCs w:val="72"/>
        </w:rPr>
        <w:t>20</w:t>
      </w:r>
      <w:r w:rsidR="003A6976" w:rsidRPr="006962C7">
        <w:rPr>
          <w:color w:val="FF3300"/>
          <w:sz w:val="72"/>
          <w:szCs w:val="72"/>
          <w:highlight w:val="yellow"/>
        </w:rPr>
        <w:t>2</w:t>
      </w:r>
      <w:r w:rsidR="006962C7" w:rsidRPr="006962C7">
        <w:rPr>
          <w:color w:val="FF3300"/>
          <w:sz w:val="72"/>
          <w:szCs w:val="72"/>
          <w:highlight w:val="yellow"/>
        </w:rPr>
        <w:t>4</w:t>
      </w:r>
      <w:r w:rsidRPr="006962C7">
        <w:rPr>
          <w:color w:val="FF3300"/>
          <w:sz w:val="72"/>
          <w:szCs w:val="72"/>
          <w:highlight w:val="yellow"/>
        </w:rPr>
        <w:t>/</w:t>
      </w:r>
      <w:r w:rsidR="00F642BC" w:rsidRPr="006962C7">
        <w:rPr>
          <w:color w:val="FF3300"/>
          <w:sz w:val="72"/>
          <w:szCs w:val="72"/>
          <w:highlight w:val="yellow"/>
        </w:rPr>
        <w:t>2</w:t>
      </w:r>
      <w:r w:rsidR="006962C7" w:rsidRPr="006962C7">
        <w:rPr>
          <w:color w:val="FF3300"/>
          <w:sz w:val="72"/>
          <w:szCs w:val="72"/>
          <w:highlight w:val="yellow"/>
        </w:rPr>
        <w:t>5</w:t>
      </w:r>
    </w:p>
    <w:p w14:paraId="46D0FAB8" w14:textId="77777777" w:rsidR="00134173" w:rsidRDefault="00134173" w:rsidP="00CF1E70">
      <w:pPr>
        <w:autoSpaceDE w:val="0"/>
        <w:autoSpaceDN w:val="0"/>
        <w:adjustRightInd w:val="0"/>
        <w:spacing w:line="276" w:lineRule="auto"/>
        <w:jc w:val="both"/>
        <w:rPr>
          <w:szCs w:val="24"/>
        </w:rPr>
      </w:pPr>
    </w:p>
    <w:p w14:paraId="5A2F316B" w14:textId="77777777" w:rsidR="00134173" w:rsidRDefault="00134173" w:rsidP="00CF1E70">
      <w:pPr>
        <w:autoSpaceDE w:val="0"/>
        <w:autoSpaceDN w:val="0"/>
        <w:adjustRightInd w:val="0"/>
        <w:spacing w:line="276" w:lineRule="auto"/>
        <w:jc w:val="both"/>
        <w:rPr>
          <w:szCs w:val="24"/>
        </w:rPr>
      </w:pPr>
    </w:p>
    <w:p w14:paraId="5F87C823" w14:textId="77777777" w:rsidR="00134173" w:rsidRDefault="00134173" w:rsidP="00CF1E70">
      <w:pPr>
        <w:autoSpaceDE w:val="0"/>
        <w:autoSpaceDN w:val="0"/>
        <w:adjustRightInd w:val="0"/>
        <w:spacing w:line="276" w:lineRule="auto"/>
        <w:jc w:val="both"/>
        <w:rPr>
          <w:szCs w:val="24"/>
        </w:rPr>
      </w:pPr>
    </w:p>
    <w:p w14:paraId="7715C0A0" w14:textId="77777777" w:rsidR="00134173" w:rsidRDefault="00134173" w:rsidP="00CF1E70">
      <w:pPr>
        <w:autoSpaceDE w:val="0"/>
        <w:autoSpaceDN w:val="0"/>
        <w:adjustRightInd w:val="0"/>
        <w:spacing w:line="276" w:lineRule="auto"/>
        <w:jc w:val="both"/>
        <w:rPr>
          <w:szCs w:val="24"/>
        </w:rPr>
      </w:pPr>
    </w:p>
    <w:p w14:paraId="51F005F2" w14:textId="73EF7FB7" w:rsidR="007B630D" w:rsidRDefault="007B630D" w:rsidP="00CF1E70">
      <w:pPr>
        <w:spacing w:line="276" w:lineRule="auto"/>
        <w:jc w:val="both"/>
        <w:rPr>
          <w:szCs w:val="24"/>
        </w:rPr>
      </w:pPr>
    </w:p>
    <w:p w14:paraId="4603898A" w14:textId="77777777" w:rsidR="007424C5" w:rsidRDefault="007424C5" w:rsidP="00CF1E70">
      <w:pPr>
        <w:spacing w:line="276" w:lineRule="auto"/>
        <w:jc w:val="both"/>
        <w:rPr>
          <w:szCs w:val="24"/>
        </w:rPr>
      </w:pPr>
    </w:p>
    <w:p w14:paraId="0A4355FD" w14:textId="77777777" w:rsidR="007B630D" w:rsidRDefault="007B630D" w:rsidP="00CF1E70">
      <w:pPr>
        <w:spacing w:line="276" w:lineRule="auto"/>
        <w:jc w:val="both"/>
        <w:rPr>
          <w:szCs w:val="24"/>
        </w:rPr>
      </w:pPr>
    </w:p>
    <w:p w14:paraId="2E5A684D" w14:textId="77777777" w:rsidR="007B630D" w:rsidRDefault="007B630D" w:rsidP="00CF1E70">
      <w:pPr>
        <w:spacing w:line="276" w:lineRule="auto"/>
        <w:jc w:val="both"/>
        <w:rPr>
          <w:szCs w:val="24"/>
        </w:rPr>
      </w:pPr>
    </w:p>
    <w:p w14:paraId="3736E5E3" w14:textId="54467745" w:rsidR="00134173" w:rsidRPr="002940E8" w:rsidRDefault="00134173" w:rsidP="006E73A1">
      <w:pPr>
        <w:spacing w:line="276" w:lineRule="auto"/>
        <w:rPr>
          <w:szCs w:val="24"/>
        </w:rPr>
      </w:pPr>
      <w:r w:rsidRPr="00A4728A">
        <w:rPr>
          <w:szCs w:val="24"/>
        </w:rPr>
        <w:t>Th</w:t>
      </w:r>
      <w:r w:rsidR="00D46407">
        <w:rPr>
          <w:szCs w:val="24"/>
        </w:rPr>
        <w:t xml:space="preserve">is </w:t>
      </w:r>
      <w:r w:rsidR="007B630D">
        <w:rPr>
          <w:szCs w:val="24"/>
        </w:rPr>
        <w:t>policy</w:t>
      </w:r>
      <w:r w:rsidR="00D46407">
        <w:rPr>
          <w:szCs w:val="24"/>
        </w:rPr>
        <w:t xml:space="preserve"> is</w:t>
      </w:r>
      <w:r w:rsidRPr="00A4728A">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C6026" w:rsidRPr="00BA5EE1" w14:paraId="193758E0" w14:textId="77777777" w:rsidTr="003A6976">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597703" w14:textId="77777777" w:rsidR="00AC6026" w:rsidRPr="006E73A1" w:rsidRDefault="00AC6026" w:rsidP="00273E70">
            <w:pPr>
              <w:spacing w:line="276" w:lineRule="auto"/>
              <w:rPr>
                <w:rFonts w:cs="Tahoma"/>
                <w:sz w:val="20"/>
                <w:szCs w:val="20"/>
              </w:rPr>
            </w:pPr>
            <w:bookmarkStart w:id="0" w:name="_Toc490256598"/>
            <w:r w:rsidRPr="006E73A1">
              <w:rPr>
                <w:rFonts w:cs="Tahoma"/>
                <w:sz w:val="20"/>
                <w:szCs w:val="20"/>
              </w:rPr>
              <w:t>Approved/reviewed by</w:t>
            </w:r>
          </w:p>
        </w:tc>
      </w:tr>
      <w:tr w:rsidR="00AC6026" w:rsidRPr="003277E3" w14:paraId="2D9F3968" w14:textId="77777777" w:rsidTr="00273E70">
        <w:tc>
          <w:tcPr>
            <w:tcW w:w="3969" w:type="dxa"/>
            <w:gridSpan w:val="2"/>
            <w:tcBorders>
              <w:top w:val="single" w:sz="8" w:space="0" w:color="auto"/>
              <w:left w:val="single" w:sz="8" w:space="0" w:color="auto"/>
              <w:bottom w:val="single" w:sz="8" w:space="0" w:color="auto"/>
              <w:right w:val="single" w:sz="8" w:space="0" w:color="auto"/>
            </w:tcBorders>
            <w:vAlign w:val="center"/>
          </w:tcPr>
          <w:p w14:paraId="7B595859" w14:textId="77777777" w:rsidR="00AC6026" w:rsidRPr="006E73A1" w:rsidRDefault="00AC6026" w:rsidP="00273E70">
            <w:pPr>
              <w:spacing w:line="276" w:lineRule="auto"/>
              <w:jc w:val="both"/>
              <w:rPr>
                <w:rFonts w:cs="Tahoma"/>
              </w:rPr>
            </w:pPr>
          </w:p>
        </w:tc>
      </w:tr>
      <w:tr w:rsidR="00AC6026" w:rsidRPr="003277E3" w14:paraId="22C5DCFD" w14:textId="77777777" w:rsidTr="003A6976">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6A13FC" w14:textId="77777777" w:rsidR="00AC6026" w:rsidRPr="006E73A1" w:rsidRDefault="00AC6026" w:rsidP="007424C5">
            <w:pPr>
              <w:spacing w:line="276" w:lineRule="auto"/>
              <w:ind w:left="1080" w:hanging="1080"/>
              <w:rPr>
                <w:rFonts w:cs="Tahoma"/>
                <w:sz w:val="20"/>
                <w:szCs w:val="20"/>
              </w:rPr>
            </w:pPr>
            <w:r w:rsidRPr="006E73A1">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08D9626" w14:textId="77777777" w:rsidR="00AC6026" w:rsidRPr="006E73A1" w:rsidRDefault="00AC6026" w:rsidP="00273E70">
            <w:pPr>
              <w:spacing w:line="276" w:lineRule="auto"/>
              <w:jc w:val="both"/>
              <w:rPr>
                <w:rFonts w:cs="Tahoma"/>
              </w:rPr>
            </w:pPr>
          </w:p>
        </w:tc>
      </w:tr>
    </w:tbl>
    <w:p w14:paraId="3BBA851D" w14:textId="77777777" w:rsidR="007424C5" w:rsidRDefault="007424C5" w:rsidP="00CF1E70">
      <w:pPr>
        <w:pStyle w:val="Headinglevel1"/>
        <w:spacing w:before="240" w:line="276" w:lineRule="auto"/>
        <w:jc w:val="both"/>
        <w:rPr>
          <w:szCs w:val="24"/>
        </w:rPr>
      </w:pPr>
    </w:p>
    <w:p w14:paraId="7943A568" w14:textId="244893D0" w:rsidR="00CB15CC" w:rsidRPr="005F2826" w:rsidRDefault="00134173" w:rsidP="00CF1E70">
      <w:pPr>
        <w:pStyle w:val="Headinglevel1"/>
        <w:spacing w:before="240" w:line="276" w:lineRule="auto"/>
        <w:jc w:val="both"/>
        <w:rPr>
          <w:szCs w:val="24"/>
        </w:rPr>
      </w:pPr>
      <w:r w:rsidRPr="006E73A1">
        <w:rPr>
          <w:szCs w:val="24"/>
        </w:rPr>
        <w:lastRenderedPageBreak/>
        <w:t xml:space="preserve">Key staff involved in </w:t>
      </w:r>
      <w:bookmarkEnd w:id="0"/>
      <w:r w:rsidR="007424C5" w:rsidRPr="006E73A1">
        <w:rPr>
          <w:szCs w:val="24"/>
        </w:rPr>
        <w:t>the</w:t>
      </w:r>
      <w:r w:rsidR="007B630D" w:rsidRPr="006E73A1">
        <w:rPr>
          <w:szCs w:val="24"/>
        </w:rPr>
        <w:t xml:space="preserve"> policy</w:t>
      </w:r>
      <w:r w:rsidR="00494531">
        <w:rPr>
          <w:szCs w:val="24"/>
        </w:rPr>
        <w:t>/procedure</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F642BC" w:rsidRPr="006E73A1" w14:paraId="582B83BA" w14:textId="77777777" w:rsidTr="003A6976">
        <w:tc>
          <w:tcPr>
            <w:tcW w:w="2117" w:type="dxa"/>
            <w:tcBorders>
              <w:top w:val="single" w:sz="8" w:space="0" w:color="auto"/>
              <w:bottom w:val="single" w:sz="6" w:space="0" w:color="auto"/>
            </w:tcBorders>
            <w:shd w:val="clear" w:color="auto" w:fill="F2F2F2" w:themeFill="background1" w:themeFillShade="F2"/>
          </w:tcPr>
          <w:p w14:paraId="7B8903F9" w14:textId="77777777" w:rsidR="00F642BC" w:rsidRPr="006E73A1" w:rsidRDefault="00F642BC" w:rsidP="00CF1E70">
            <w:pPr>
              <w:jc w:val="both"/>
              <w:rPr>
                <w:rFonts w:cs="Tahoma"/>
                <w:bCs/>
                <w:sz w:val="20"/>
                <w:szCs w:val="20"/>
              </w:rPr>
            </w:pPr>
            <w:bookmarkStart w:id="1" w:name="_Hlk20227038"/>
            <w:bookmarkStart w:id="2" w:name="_Hlk20226988"/>
            <w:r w:rsidRPr="006E73A1">
              <w:rPr>
                <w:rFonts w:cs="Tahoma"/>
                <w:bCs/>
                <w:sz w:val="20"/>
                <w:szCs w:val="20"/>
              </w:rPr>
              <w:t>Role</w:t>
            </w:r>
          </w:p>
        </w:tc>
        <w:tc>
          <w:tcPr>
            <w:tcW w:w="7915" w:type="dxa"/>
            <w:tcBorders>
              <w:top w:val="single" w:sz="8" w:space="0" w:color="auto"/>
              <w:bottom w:val="single" w:sz="6" w:space="0" w:color="auto"/>
            </w:tcBorders>
            <w:shd w:val="clear" w:color="auto" w:fill="F2F2F2" w:themeFill="background1" w:themeFillShade="F2"/>
          </w:tcPr>
          <w:p w14:paraId="526A6EDA" w14:textId="4AE70093" w:rsidR="00F642BC" w:rsidRPr="006E73A1" w:rsidRDefault="00F642BC" w:rsidP="00CF1E70">
            <w:pPr>
              <w:jc w:val="both"/>
              <w:rPr>
                <w:rFonts w:cs="Tahoma"/>
                <w:bCs/>
                <w:sz w:val="20"/>
                <w:szCs w:val="20"/>
              </w:rPr>
            </w:pPr>
            <w:r w:rsidRPr="006E73A1">
              <w:rPr>
                <w:rFonts w:cs="Tahoma"/>
                <w:bCs/>
                <w:sz w:val="20"/>
                <w:szCs w:val="20"/>
              </w:rPr>
              <w:t>Name(s)</w:t>
            </w:r>
          </w:p>
        </w:tc>
      </w:tr>
      <w:tr w:rsidR="00F642BC" w:rsidRPr="00B96C25" w14:paraId="5A25024C" w14:textId="77777777" w:rsidTr="003A6976">
        <w:tc>
          <w:tcPr>
            <w:tcW w:w="2117" w:type="dxa"/>
            <w:tcBorders>
              <w:top w:val="single" w:sz="6" w:space="0" w:color="auto"/>
            </w:tcBorders>
          </w:tcPr>
          <w:p w14:paraId="18694AF1" w14:textId="77777777" w:rsidR="00F642BC" w:rsidRPr="006E73A1" w:rsidRDefault="00F642BC" w:rsidP="00CF1E70">
            <w:pPr>
              <w:jc w:val="both"/>
              <w:rPr>
                <w:rFonts w:cs="Tahoma"/>
                <w:sz w:val="20"/>
                <w:szCs w:val="20"/>
              </w:rPr>
            </w:pPr>
            <w:r w:rsidRPr="006E73A1">
              <w:rPr>
                <w:rFonts w:cs="Tahoma"/>
                <w:sz w:val="20"/>
                <w:szCs w:val="20"/>
              </w:rPr>
              <w:t>Head of centre</w:t>
            </w:r>
          </w:p>
        </w:tc>
        <w:tc>
          <w:tcPr>
            <w:tcW w:w="7915" w:type="dxa"/>
            <w:tcBorders>
              <w:top w:val="single" w:sz="6" w:space="0" w:color="auto"/>
            </w:tcBorders>
          </w:tcPr>
          <w:p w14:paraId="1A6CC743" w14:textId="5703FB8D" w:rsidR="00F642BC" w:rsidRPr="006E73A1" w:rsidRDefault="00F642BC" w:rsidP="00CF1E70">
            <w:pPr>
              <w:jc w:val="both"/>
              <w:rPr>
                <w:rFonts w:cs="Tahoma"/>
                <w:bCs/>
              </w:rPr>
            </w:pPr>
          </w:p>
        </w:tc>
      </w:tr>
      <w:tr w:rsidR="00F642BC" w:rsidRPr="00B96C25" w14:paraId="791D6E0A" w14:textId="77777777" w:rsidTr="007424C5">
        <w:tc>
          <w:tcPr>
            <w:tcW w:w="2117" w:type="dxa"/>
          </w:tcPr>
          <w:p w14:paraId="58D5F6D9" w14:textId="521042E9" w:rsidR="00F642BC" w:rsidRPr="006E73A1" w:rsidRDefault="00E846FC" w:rsidP="00CF1E70">
            <w:pPr>
              <w:jc w:val="both"/>
              <w:rPr>
                <w:rFonts w:cs="Tahoma"/>
                <w:sz w:val="20"/>
                <w:szCs w:val="20"/>
              </w:rPr>
            </w:pPr>
            <w:r w:rsidRPr="006E73A1">
              <w:rPr>
                <w:rFonts w:cs="Tahoma"/>
                <w:sz w:val="20"/>
                <w:szCs w:val="20"/>
              </w:rPr>
              <w:t>Senior leader(s)</w:t>
            </w:r>
          </w:p>
        </w:tc>
        <w:tc>
          <w:tcPr>
            <w:tcW w:w="7915" w:type="dxa"/>
          </w:tcPr>
          <w:p w14:paraId="236BC97C" w14:textId="0A96BD12" w:rsidR="00F642BC" w:rsidRPr="006E73A1" w:rsidRDefault="00F642BC" w:rsidP="00CF1E70">
            <w:pPr>
              <w:jc w:val="both"/>
              <w:rPr>
                <w:rFonts w:cs="Tahoma"/>
                <w:bCs/>
              </w:rPr>
            </w:pPr>
          </w:p>
        </w:tc>
      </w:tr>
      <w:tr w:rsidR="00F642BC" w:rsidRPr="00B96C25" w14:paraId="5D22674B" w14:textId="77777777" w:rsidTr="007424C5">
        <w:tc>
          <w:tcPr>
            <w:tcW w:w="2117" w:type="dxa"/>
          </w:tcPr>
          <w:p w14:paraId="79136739" w14:textId="245A69FB" w:rsidR="00F642BC" w:rsidRPr="006E73A1" w:rsidRDefault="00F642BC" w:rsidP="00CF1E70">
            <w:pPr>
              <w:jc w:val="both"/>
              <w:rPr>
                <w:rFonts w:cs="Tahoma"/>
                <w:sz w:val="20"/>
                <w:szCs w:val="20"/>
              </w:rPr>
            </w:pPr>
            <w:r w:rsidRPr="006E73A1">
              <w:rPr>
                <w:rFonts w:cs="Tahoma"/>
                <w:sz w:val="20"/>
                <w:szCs w:val="20"/>
              </w:rPr>
              <w:t>Exams officer</w:t>
            </w:r>
            <w:r w:rsidRPr="006E73A1">
              <w:rPr>
                <w:rFonts w:cs="Tahoma"/>
                <w:b/>
                <w:noProof/>
                <w:color w:val="FF3300"/>
                <w:sz w:val="20"/>
                <w:szCs w:val="20"/>
              </w:rPr>
              <w:t xml:space="preserve"> </w:t>
            </w:r>
          </w:p>
        </w:tc>
        <w:tc>
          <w:tcPr>
            <w:tcW w:w="7915" w:type="dxa"/>
          </w:tcPr>
          <w:p w14:paraId="786BDDA1" w14:textId="74E7C592" w:rsidR="00F642BC" w:rsidRPr="006E73A1" w:rsidRDefault="00F642BC" w:rsidP="00CF1E70">
            <w:pPr>
              <w:jc w:val="both"/>
              <w:rPr>
                <w:rFonts w:cs="Tahoma"/>
                <w:bCs/>
              </w:rPr>
            </w:pPr>
          </w:p>
        </w:tc>
      </w:tr>
      <w:tr w:rsidR="00F642BC" w:rsidRPr="00B96C25" w14:paraId="672E7BA8" w14:textId="77777777" w:rsidTr="007424C5">
        <w:tc>
          <w:tcPr>
            <w:tcW w:w="2117" w:type="dxa"/>
          </w:tcPr>
          <w:p w14:paraId="2853DD48" w14:textId="0ED48DEB" w:rsidR="00F642BC" w:rsidRPr="006E73A1" w:rsidRDefault="00F642BC" w:rsidP="00CF1E70">
            <w:pPr>
              <w:jc w:val="both"/>
              <w:rPr>
                <w:rFonts w:cs="Tahoma"/>
                <w:sz w:val="20"/>
                <w:szCs w:val="20"/>
              </w:rPr>
            </w:pPr>
          </w:p>
        </w:tc>
        <w:tc>
          <w:tcPr>
            <w:tcW w:w="7915" w:type="dxa"/>
          </w:tcPr>
          <w:p w14:paraId="345CCCED" w14:textId="20B6626B" w:rsidR="00F642BC" w:rsidRPr="006E73A1" w:rsidRDefault="00F642BC" w:rsidP="00CF1E70">
            <w:pPr>
              <w:jc w:val="both"/>
              <w:rPr>
                <w:rFonts w:cs="Tahoma"/>
                <w:bCs/>
              </w:rPr>
            </w:pPr>
          </w:p>
        </w:tc>
      </w:tr>
    </w:tbl>
    <w:bookmarkEnd w:id="1"/>
    <w:p w14:paraId="7E8B52E1" w14:textId="50AC678B" w:rsidR="00C943F5" w:rsidRDefault="0008421E" w:rsidP="00CF1E70">
      <w:pPr>
        <w:spacing w:after="200" w:line="276" w:lineRule="auto"/>
        <w:jc w:val="both"/>
        <w:rPr>
          <w:rFonts w:cs="Arial"/>
          <w:b/>
          <w:noProof/>
          <w:color w:val="003399"/>
          <w:sz w:val="28"/>
          <w:szCs w:val="28"/>
        </w:rPr>
      </w:pPr>
      <w:r w:rsidRPr="00795F8B">
        <w:rPr>
          <w:rFonts w:ascii="Helvetica" w:hAnsi="Helvetica"/>
          <w:noProof/>
          <w:sz w:val="20"/>
          <w:szCs w:val="20"/>
          <w:highlight w:val="yellow"/>
        </w:rPr>
        <mc:AlternateContent>
          <mc:Choice Requires="wps">
            <w:drawing>
              <wp:anchor distT="0" distB="0" distL="114300" distR="114300" simplePos="0" relativeHeight="251663360" behindDoc="0" locked="0" layoutInCell="1" allowOverlap="1" wp14:anchorId="0A5AD3EB" wp14:editId="639D743F">
                <wp:simplePos x="0" y="0"/>
                <wp:positionH relativeFrom="margin">
                  <wp:posOffset>358140</wp:posOffset>
                </wp:positionH>
                <wp:positionV relativeFrom="paragraph">
                  <wp:posOffset>443865</wp:posOffset>
                </wp:positionV>
                <wp:extent cx="6070600" cy="4610100"/>
                <wp:effectExtent l="12700" t="12700" r="25400" b="381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610100"/>
                        </a:xfrm>
                        <a:prstGeom prst="rect">
                          <a:avLst/>
                        </a:prstGeom>
                        <a:solidFill>
                          <a:schemeClr val="bg1">
                            <a:lumMod val="95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073BCF1B" w14:textId="312EC1EF" w:rsidR="0008421E" w:rsidRPr="006962C7" w:rsidRDefault="00840B86" w:rsidP="0008421E">
                            <w:pPr>
                              <w:jc w:val="center"/>
                              <w:rPr>
                                <w:rFonts w:cs="Tahoma"/>
                              </w:rPr>
                            </w:pPr>
                            <w:r w:rsidRPr="006962C7">
                              <w:rPr>
                                <w:rFonts w:cs="Tahoma"/>
                                <w:color w:val="003399"/>
                              </w:rPr>
                              <w:t>WHISTLEBLOWING</w:t>
                            </w:r>
                            <w:r w:rsidR="0008421E" w:rsidRPr="006962C7">
                              <w:rPr>
                                <w:rFonts w:cs="Tahoma"/>
                                <w:color w:val="003399"/>
                              </w:rPr>
                              <w:t xml:space="preserve"> POLICY (Exams) TEMPLATE</w:t>
                            </w:r>
                          </w:p>
                          <w:p w14:paraId="1C84E10E" w14:textId="77777777" w:rsidR="0008421E" w:rsidRPr="00193760" w:rsidRDefault="0008421E" w:rsidP="0008421E">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3033058C" w14:textId="77777777" w:rsidR="006962C7" w:rsidRPr="00517BAD" w:rsidRDefault="006962C7" w:rsidP="006962C7">
                            <w:pPr>
                              <w:spacing w:after="0"/>
                              <w:rPr>
                                <w:rFonts w:cs="Tahoma"/>
                                <w:b/>
                                <w:color w:val="595959" w:themeColor="text1" w:themeTint="A6"/>
                                <w:sz w:val="20"/>
                                <w:szCs w:val="20"/>
                              </w:rPr>
                            </w:pPr>
                            <w:r w:rsidRPr="00517BAD">
                              <w:rPr>
                                <w:rFonts w:cs="Tahoma"/>
                                <w:b/>
                                <w:color w:val="595959" w:themeColor="text1" w:themeTint="A6"/>
                                <w:sz w:val="20"/>
                                <w:szCs w:val="20"/>
                              </w:rPr>
                              <w:t>Changes made to the contents of this template since the previous (</w:t>
                            </w:r>
                            <w:r w:rsidRPr="008E0B77">
                              <w:rPr>
                                <w:rFonts w:cs="Tahoma"/>
                                <w:b/>
                                <w:color w:val="595959" w:themeColor="text1" w:themeTint="A6"/>
                                <w:sz w:val="20"/>
                                <w:szCs w:val="20"/>
                                <w:highlight w:val="yellow"/>
                              </w:rPr>
                              <w:t>2023/24</w:t>
                            </w:r>
                            <w:r w:rsidRPr="00517BAD">
                              <w:rPr>
                                <w:rFonts w:cs="Tahoma"/>
                                <w:b/>
                                <w:color w:val="595959" w:themeColor="text1" w:themeTint="A6"/>
                                <w:sz w:val="20"/>
                                <w:szCs w:val="20"/>
                              </w:rPr>
                              <w:t xml:space="preserve">) version are </w:t>
                            </w:r>
                            <w:r w:rsidRPr="008E0B77">
                              <w:rPr>
                                <w:rFonts w:cs="Tahoma"/>
                                <w:b/>
                                <w:color w:val="595959" w:themeColor="text1" w:themeTint="A6"/>
                                <w:sz w:val="20"/>
                                <w:szCs w:val="20"/>
                                <w:highlight w:val="yellow"/>
                              </w:rPr>
                              <w:t>highlighted</w:t>
                            </w:r>
                            <w:r w:rsidRPr="00517BAD">
                              <w:rPr>
                                <w:rFonts w:cs="Tahoma"/>
                                <w:b/>
                                <w:color w:val="595959" w:themeColor="text1" w:themeTint="A6"/>
                                <w:sz w:val="20"/>
                                <w:szCs w:val="20"/>
                              </w:rPr>
                              <w:t xml:space="preserve"> for easy identification</w:t>
                            </w:r>
                            <w:r w:rsidRPr="00517BAD">
                              <w:rPr>
                                <w:rFonts w:cs="Tahoma"/>
                                <w:bCs/>
                                <w:color w:val="595959" w:themeColor="text1" w:themeTint="A6"/>
                                <w:sz w:val="20"/>
                                <w:szCs w:val="20"/>
                              </w:rPr>
                              <w:t>.</w:t>
                            </w:r>
                            <w:r w:rsidRPr="00517BAD">
                              <w:rPr>
                                <w:rFonts w:cs="Tahoma"/>
                                <w:b/>
                                <w:color w:val="595959" w:themeColor="text1" w:themeTint="A6"/>
                                <w:sz w:val="20"/>
                                <w:szCs w:val="20"/>
                              </w:rPr>
                              <w:t xml:space="preserve"> </w:t>
                            </w:r>
                            <w:r w:rsidRPr="00517BAD">
                              <w:rPr>
                                <w:rFonts w:cs="Tahoma"/>
                                <w:color w:val="595959" w:themeColor="text1" w:themeTint="A6"/>
                                <w:sz w:val="20"/>
                                <w:szCs w:val="20"/>
                              </w:rPr>
                              <w:t xml:space="preserve">A change </w:t>
                            </w:r>
                            <w:r>
                              <w:rPr>
                                <w:rFonts w:cs="Tahoma"/>
                                <w:color w:val="595959" w:themeColor="text1" w:themeTint="A6"/>
                                <w:sz w:val="20"/>
                                <w:szCs w:val="20"/>
                              </w:rPr>
                              <w:t>may</w:t>
                            </w:r>
                            <w:r w:rsidRPr="00517BAD">
                              <w:rPr>
                                <w:rFonts w:cs="Tahoma"/>
                                <w:color w:val="595959" w:themeColor="text1" w:themeTint="A6"/>
                                <w:sz w:val="20"/>
                                <w:szCs w:val="20"/>
                              </w:rPr>
                              <w:t xml:space="preserve"> not always signify a regulation change/update, but rather to provide clarity.</w:t>
                            </w:r>
                          </w:p>
                          <w:p w14:paraId="01588296" w14:textId="14979D6F" w:rsidR="00ED2EBA" w:rsidRDefault="00C43B3F" w:rsidP="0008421E">
                            <w:pPr>
                              <w:rPr>
                                <w:rFonts w:cs="Tahoma"/>
                                <w:color w:val="262626" w:themeColor="text1" w:themeTint="D9"/>
                                <w:sz w:val="20"/>
                                <w:szCs w:val="20"/>
                              </w:rPr>
                            </w:pPr>
                            <w:r w:rsidRPr="00C43B3F">
                              <w:rPr>
                                <w:rFonts w:cs="Tahoma"/>
                                <w:bCs/>
                                <w:color w:val="262626" w:themeColor="text1" w:themeTint="D9"/>
                                <w:sz w:val="20"/>
                                <w:szCs w:val="20"/>
                              </w:rPr>
                              <w:t>G</w:t>
                            </w:r>
                            <w:r w:rsidR="00E54D59" w:rsidRPr="00A601CB">
                              <w:rPr>
                                <w:rFonts w:cs="Tahoma"/>
                                <w:color w:val="262626" w:themeColor="text1" w:themeTint="D9"/>
                                <w:sz w:val="20"/>
                                <w:szCs w:val="20"/>
                              </w:rPr>
                              <w:t xml:space="preserve">uidance provided by your centre’s relevant authority (Local Authority, Academy Trust etc.) should be the primary source of reference relating to </w:t>
                            </w:r>
                            <w:r>
                              <w:rPr>
                                <w:rFonts w:cs="Tahoma"/>
                                <w:color w:val="262626" w:themeColor="text1" w:themeTint="D9"/>
                                <w:sz w:val="20"/>
                                <w:szCs w:val="20"/>
                              </w:rPr>
                              <w:t xml:space="preserve">the </w:t>
                            </w:r>
                            <w:r w:rsidR="00E54D59" w:rsidRPr="00A601CB">
                              <w:rPr>
                                <w:rFonts w:cs="Tahoma"/>
                                <w:color w:val="262626" w:themeColor="text1" w:themeTint="D9"/>
                                <w:sz w:val="20"/>
                                <w:szCs w:val="20"/>
                              </w:rPr>
                              <w:t xml:space="preserve">centre-wide </w:t>
                            </w:r>
                            <w:r w:rsidR="00E54D59">
                              <w:rPr>
                                <w:rFonts w:cs="Tahoma"/>
                                <w:color w:val="262626" w:themeColor="text1" w:themeTint="D9"/>
                                <w:sz w:val="20"/>
                                <w:szCs w:val="20"/>
                              </w:rPr>
                              <w:t>whistleblowing</w:t>
                            </w:r>
                            <w:r w:rsidR="00E54D59" w:rsidRPr="00A601CB">
                              <w:rPr>
                                <w:rFonts w:cs="Tahoma"/>
                                <w:color w:val="262626" w:themeColor="text1" w:themeTint="D9"/>
                                <w:sz w:val="20"/>
                                <w:szCs w:val="20"/>
                              </w:rPr>
                              <w:t xml:space="preserve"> policy and associated </w:t>
                            </w:r>
                            <w:r w:rsidR="00E54D59" w:rsidRPr="00ED2EBA">
                              <w:rPr>
                                <w:rFonts w:cs="Tahoma"/>
                                <w:color w:val="262626" w:themeColor="text1" w:themeTint="D9"/>
                                <w:sz w:val="20"/>
                                <w:szCs w:val="20"/>
                              </w:rPr>
                              <w:t>procedure(s)</w:t>
                            </w:r>
                            <w:r w:rsidR="000B6E85" w:rsidRPr="00ED2EBA">
                              <w:rPr>
                                <w:rFonts w:cs="Tahoma"/>
                                <w:color w:val="262626" w:themeColor="text1" w:themeTint="D9"/>
                                <w:sz w:val="20"/>
                                <w:szCs w:val="20"/>
                              </w:rPr>
                              <w:t>, however, it is also a JCQ requirement to produce a centre-specific whistleblowing policy related to the management, administration and conducting of examinations and assessments</w:t>
                            </w:r>
                            <w:r w:rsidR="00E54D59" w:rsidRPr="00ED2EBA">
                              <w:rPr>
                                <w:rFonts w:cs="Tahoma"/>
                                <w:color w:val="262626" w:themeColor="text1" w:themeTint="D9"/>
                                <w:sz w:val="20"/>
                                <w:szCs w:val="20"/>
                              </w:rPr>
                              <w:t xml:space="preserve">. </w:t>
                            </w:r>
                          </w:p>
                          <w:p w14:paraId="2EF25C7D" w14:textId="5AEAB42D" w:rsidR="00ED2EBA" w:rsidRPr="006962C7" w:rsidRDefault="00ED2EBA" w:rsidP="006962C7">
                            <w:pPr>
                              <w:ind w:left="720"/>
                              <w:rPr>
                                <w:rFonts w:cs="Tahoma"/>
                                <w:color w:val="595959" w:themeColor="text1" w:themeTint="A6"/>
                                <w:sz w:val="20"/>
                                <w:szCs w:val="20"/>
                              </w:rPr>
                            </w:pPr>
                            <w:r w:rsidRPr="00ED2EBA">
                              <w:rPr>
                                <w:rFonts w:cs="Tahoma"/>
                                <w:color w:val="595959" w:themeColor="text1" w:themeTint="A6"/>
                                <w:sz w:val="20"/>
                                <w:szCs w:val="20"/>
                              </w:rPr>
                              <w:t>(</w:t>
                            </w:r>
                            <w:hyperlink r:id="rId9" w:history="1">
                              <w:r w:rsidRPr="00ED2EBA">
                                <w:rPr>
                                  <w:rStyle w:val="Hyperlink"/>
                                  <w:rFonts w:cs="Tahoma"/>
                                  <w:color w:val="0070C0"/>
                                  <w:sz w:val="20"/>
                                  <w:szCs w:val="20"/>
                                  <w:u w:val="none"/>
                                </w:rPr>
                                <w:t>GR</w:t>
                              </w:r>
                            </w:hyperlink>
                            <w:r w:rsidRPr="00ED2EBA">
                              <w:rPr>
                                <w:rFonts w:cs="Tahoma"/>
                                <w:color w:val="595959" w:themeColor="text1" w:themeTint="A6"/>
                                <w:sz w:val="20"/>
                                <w:szCs w:val="20"/>
                              </w:rPr>
                              <w:t xml:space="preserve">, section 5.3) It is the responsibility of the </w:t>
                            </w:r>
                            <w:r w:rsidRPr="00ED2EBA">
                              <w:rPr>
                                <w:rFonts w:cs="Tahoma"/>
                                <w:b/>
                                <w:color w:val="595959" w:themeColor="text1" w:themeTint="A6"/>
                                <w:sz w:val="20"/>
                                <w:szCs w:val="20"/>
                              </w:rPr>
                              <w:t>head of centre</w:t>
                            </w:r>
                            <w:r w:rsidRPr="00ED2EBA">
                              <w:rPr>
                                <w:rFonts w:cs="Tahoma"/>
                                <w:color w:val="595959" w:themeColor="text1" w:themeTint="A6"/>
                                <w:sz w:val="20"/>
                                <w:szCs w:val="20"/>
                              </w:rPr>
                              <w:t xml:space="preserve"> to ensure that </w:t>
                            </w:r>
                            <w:r w:rsidR="006962C7">
                              <w:rPr>
                                <w:rFonts w:cs="Tahoma"/>
                                <w:color w:val="595959" w:themeColor="text1" w:themeTint="A6"/>
                                <w:sz w:val="20"/>
                                <w:szCs w:val="20"/>
                              </w:rPr>
                              <w:t>their</w:t>
                            </w:r>
                            <w:r w:rsidRPr="00ED2EBA">
                              <w:rPr>
                                <w:rFonts w:cs="Tahoma"/>
                                <w:color w:val="595959" w:themeColor="text1" w:themeTint="A6"/>
                                <w:sz w:val="20"/>
                                <w:szCs w:val="20"/>
                              </w:rPr>
                              <w:t xml:space="preserve"> centre: ...has in place the following policies for inspection</w:t>
                            </w:r>
                            <w:r w:rsidR="006962C7">
                              <w:rPr>
                                <w:rFonts w:cs="Tahoma"/>
                                <w:color w:val="595959" w:themeColor="text1" w:themeTint="A6"/>
                                <w:sz w:val="20"/>
                                <w:szCs w:val="20"/>
                              </w:rPr>
                              <w:t xml:space="preserve"> t</w:t>
                            </w:r>
                            <w:r w:rsidR="006962C7" w:rsidRPr="006962C7">
                              <w:rPr>
                                <w:rFonts w:cs="Tahoma"/>
                                <w:color w:val="595959" w:themeColor="text1" w:themeTint="A6"/>
                                <w:sz w:val="20"/>
                                <w:szCs w:val="20"/>
                              </w:rPr>
                              <w:t>hat must be reviewed and updated annually</w:t>
                            </w:r>
                            <w:r w:rsidRPr="00ED2EBA">
                              <w:rPr>
                                <w:rFonts w:cs="Tahoma"/>
                                <w:color w:val="595959" w:themeColor="text1" w:themeTint="A6"/>
                                <w:sz w:val="20"/>
                                <w:szCs w:val="20"/>
                              </w:rPr>
                              <w:t>... a written whistleblowing policy</w:t>
                            </w:r>
                          </w:p>
                          <w:p w14:paraId="331B5E71" w14:textId="2F4190B0" w:rsidR="0008421E" w:rsidRPr="00ED2EBA" w:rsidRDefault="0008421E" w:rsidP="0008421E">
                            <w:pPr>
                              <w:rPr>
                                <w:rFonts w:cs="Tahoma"/>
                                <w:color w:val="262626" w:themeColor="text1" w:themeTint="D9"/>
                                <w:sz w:val="20"/>
                                <w:szCs w:val="20"/>
                              </w:rPr>
                            </w:pPr>
                            <w:r w:rsidRPr="00ED2EBA">
                              <w:rPr>
                                <w:rFonts w:cs="Tahoma"/>
                                <w:color w:val="262626" w:themeColor="text1" w:themeTint="D9"/>
                                <w:sz w:val="20"/>
                                <w:szCs w:val="20"/>
                              </w:rPr>
                              <w:t xml:space="preserve">This template is provided as an example </w:t>
                            </w:r>
                            <w:r w:rsidRPr="00ED2EBA">
                              <w:rPr>
                                <w:rFonts w:cs="Tahoma"/>
                                <w:b/>
                                <w:color w:val="262626" w:themeColor="text1" w:themeTint="D9"/>
                                <w:sz w:val="20"/>
                                <w:szCs w:val="20"/>
                                <w:u w:val="single"/>
                              </w:rPr>
                              <w:t>only</w:t>
                            </w:r>
                            <w:r w:rsidRPr="00ED2EBA">
                              <w:rPr>
                                <w:rFonts w:cs="Tahoma"/>
                                <w:b/>
                                <w:color w:val="262626" w:themeColor="text1" w:themeTint="D9"/>
                                <w:sz w:val="20"/>
                                <w:szCs w:val="20"/>
                              </w:rPr>
                              <w:t xml:space="preserve"> </w:t>
                            </w:r>
                            <w:r w:rsidRPr="00ED2EBA">
                              <w:rPr>
                                <w:rFonts w:cs="Tahoma"/>
                                <w:color w:val="262626" w:themeColor="text1" w:themeTint="D9"/>
                                <w:sz w:val="20"/>
                                <w:szCs w:val="20"/>
                              </w:rPr>
                              <w:t xml:space="preserve">and is designed to provide a starting point/framework on which to build a </w:t>
                            </w:r>
                            <w:r w:rsidR="00E54D59" w:rsidRPr="00ED2EBA">
                              <w:rPr>
                                <w:rFonts w:cs="Tahoma"/>
                                <w:color w:val="262626" w:themeColor="text1" w:themeTint="D9"/>
                                <w:sz w:val="20"/>
                                <w:szCs w:val="20"/>
                              </w:rPr>
                              <w:t xml:space="preserve">supplementary </w:t>
                            </w:r>
                            <w:r w:rsidRPr="00ED2EBA">
                              <w:rPr>
                                <w:rFonts w:cs="Tahoma"/>
                                <w:color w:val="262626" w:themeColor="text1" w:themeTint="D9"/>
                                <w:sz w:val="20"/>
                                <w:szCs w:val="20"/>
                              </w:rPr>
                              <w:t xml:space="preserve">policy relating </w:t>
                            </w:r>
                            <w:r w:rsidR="00E54D59" w:rsidRPr="00ED2EBA">
                              <w:rPr>
                                <w:rFonts w:cs="Tahoma"/>
                                <w:color w:val="262626" w:themeColor="text1" w:themeTint="D9"/>
                                <w:sz w:val="20"/>
                                <w:szCs w:val="20"/>
                              </w:rPr>
                              <w:t xml:space="preserve">to </w:t>
                            </w:r>
                            <w:r w:rsidR="00840B86" w:rsidRPr="00ED2EBA">
                              <w:rPr>
                                <w:rFonts w:cs="Tahoma"/>
                                <w:color w:val="262626" w:themeColor="text1" w:themeTint="D9"/>
                                <w:sz w:val="20"/>
                                <w:szCs w:val="20"/>
                              </w:rPr>
                              <w:t>exams/assessments.</w:t>
                            </w:r>
                          </w:p>
                          <w:p w14:paraId="5EAD5E26" w14:textId="77777777" w:rsidR="0008421E" w:rsidRPr="0079704F" w:rsidRDefault="0008421E" w:rsidP="0008421E">
                            <w:pPr>
                              <w:rPr>
                                <w:rFonts w:cs="Tahoma"/>
                                <w:color w:val="262626" w:themeColor="text1" w:themeTint="D9"/>
                                <w:sz w:val="20"/>
                                <w:szCs w:val="20"/>
                              </w:rPr>
                            </w:pPr>
                            <w:r w:rsidRPr="0079704F">
                              <w:rPr>
                                <w:rFonts w:cs="Tahoma"/>
                                <w:color w:val="262626" w:themeColor="text1" w:themeTint="D9"/>
                                <w:sz w:val="20"/>
                                <w:szCs w:val="20"/>
                              </w:rPr>
                              <w:t xml:space="preserve">A table to record key staff (job role and name) involved in the </w:t>
                            </w:r>
                            <w:r>
                              <w:rPr>
                                <w:rFonts w:cs="Tahoma"/>
                                <w:color w:val="262626" w:themeColor="text1" w:themeTint="D9"/>
                                <w:sz w:val="20"/>
                                <w:szCs w:val="20"/>
                              </w:rPr>
                              <w:t>policy</w:t>
                            </w:r>
                            <w:r w:rsidRPr="0079704F">
                              <w:rPr>
                                <w:rFonts w:cs="Tahoma"/>
                                <w:color w:val="262626" w:themeColor="text1" w:themeTint="D9"/>
                                <w:sz w:val="20"/>
                                <w:szCs w:val="20"/>
                              </w:rPr>
                              <w:t xml:space="preserve"> is included at the beginning of the template. You may choose to delete this or use it as good practice by inserting </w:t>
                            </w:r>
                            <w:r w:rsidRPr="0079704F">
                              <w:rPr>
                                <w:rFonts w:cs="Tahoma"/>
                                <w:b/>
                                <w:color w:val="262626" w:themeColor="text1" w:themeTint="D9"/>
                                <w:sz w:val="20"/>
                                <w:szCs w:val="20"/>
                              </w:rPr>
                              <w:t>all</w:t>
                            </w:r>
                            <w:r w:rsidRPr="0079704F">
                              <w:rPr>
                                <w:rFonts w:cs="Tahoma"/>
                                <w:color w:val="262626" w:themeColor="text1" w:themeTint="D9"/>
                                <w:sz w:val="20"/>
                                <w:szCs w:val="20"/>
                              </w:rPr>
                              <w:t xml:space="preserve"> relevant roles and staff names (some example roles have been provided).</w:t>
                            </w:r>
                          </w:p>
                          <w:p w14:paraId="7F2A9B5E" w14:textId="7E056662" w:rsidR="0008421E" w:rsidRPr="00AF116E" w:rsidRDefault="0008421E" w:rsidP="00AF116E">
                            <w:pPr>
                              <w:spacing w:after="0"/>
                              <w:rPr>
                                <w:rFonts w:cs="Tahoma"/>
                                <w:b/>
                                <w:color w:val="262626" w:themeColor="text1" w:themeTint="D9"/>
                                <w:sz w:val="20"/>
                                <w:szCs w:val="20"/>
                              </w:rPr>
                            </w:pPr>
                            <w:r w:rsidRPr="00AF116E">
                              <w:rPr>
                                <w:rFonts w:cs="Tahoma"/>
                                <w:b/>
                                <w:color w:val="262626" w:themeColor="text1" w:themeTint="D9"/>
                                <w:sz w:val="20"/>
                                <w:szCs w:val="20"/>
                              </w:rPr>
                              <w:t>Important points to note</w:t>
                            </w:r>
                          </w:p>
                          <w:p w14:paraId="1BC4E8B6" w14:textId="77777777" w:rsidR="0008421E" w:rsidRPr="00AF116E" w:rsidRDefault="0008421E" w:rsidP="0008421E">
                            <w:pPr>
                              <w:pStyle w:val="ListParagraph"/>
                              <w:numPr>
                                <w:ilvl w:val="0"/>
                                <w:numId w:val="20"/>
                              </w:numPr>
                              <w:spacing w:before="0" w:after="0"/>
                              <w:rPr>
                                <w:rFonts w:cs="Tahoma"/>
                                <w:b/>
                                <w:color w:val="262626" w:themeColor="text1" w:themeTint="D9"/>
                                <w:sz w:val="20"/>
                                <w:szCs w:val="20"/>
                              </w:rPr>
                            </w:pPr>
                            <w:r w:rsidRPr="00AF116E">
                              <w:rPr>
                                <w:rFonts w:cs="Tahoma"/>
                                <w:color w:val="262626" w:themeColor="text1" w:themeTint="D9"/>
                                <w:sz w:val="20"/>
                                <w:szCs w:val="20"/>
                              </w:rPr>
                              <w:t>[</w:t>
                            </w:r>
                            <w:r w:rsidRPr="00AF116E">
                              <w:rPr>
                                <w:rFonts w:cs="Tahoma"/>
                                <w:b/>
                                <w:bCs/>
                                <w:color w:val="262626" w:themeColor="text1" w:themeTint="D9"/>
                                <w:sz w:val="20"/>
                                <w:szCs w:val="20"/>
                              </w:rPr>
                              <w:t>Insert</w:t>
                            </w:r>
                            <w:r w:rsidRPr="00AF116E">
                              <w:rPr>
                                <w:rFonts w:cs="Tahoma"/>
                                <w:color w:val="262626" w:themeColor="text1" w:themeTint="D9"/>
                                <w:sz w:val="20"/>
                                <w:szCs w:val="20"/>
                              </w:rPr>
                              <w:t>…] fields are in coloured font to highlight them – this is to ensure the need to insert relevant centre-specific details stands out and is not overlooked – change colour to ‘automatic’ when inserted</w:t>
                            </w:r>
                          </w:p>
                          <w:p w14:paraId="6C2042B7" w14:textId="69B31CD9" w:rsidR="0008421E" w:rsidRPr="00AF116E" w:rsidRDefault="00AF116E" w:rsidP="0008421E">
                            <w:pPr>
                              <w:pStyle w:val="ListParagraph"/>
                              <w:numPr>
                                <w:ilvl w:val="0"/>
                                <w:numId w:val="20"/>
                              </w:numPr>
                              <w:spacing w:before="0" w:after="0"/>
                              <w:rPr>
                                <w:rFonts w:cs="Tahoma"/>
                                <w:b/>
                                <w:color w:val="262626" w:themeColor="text1" w:themeTint="D9"/>
                                <w:sz w:val="20"/>
                                <w:szCs w:val="20"/>
                              </w:rPr>
                            </w:pPr>
                            <w:r w:rsidRPr="00AF116E">
                              <w:rPr>
                                <w:rFonts w:cs="Tahoma"/>
                                <w:color w:val="262626" w:themeColor="text1" w:themeTint="D9"/>
                                <w:sz w:val="20"/>
                                <w:szCs w:val="20"/>
                              </w:rPr>
                              <w:t>Customise this template for use in your</w:t>
                            </w:r>
                            <w:r w:rsidR="0008421E" w:rsidRPr="00AF116E">
                              <w:rPr>
                                <w:rFonts w:cs="Tahoma"/>
                                <w:color w:val="262626" w:themeColor="text1" w:themeTint="D9"/>
                                <w:sz w:val="20"/>
                                <w:szCs w:val="20"/>
                              </w:rPr>
                              <w:t xml:space="preserve"> centre by</w:t>
                            </w:r>
                            <w:r w:rsidRPr="00AF116E">
                              <w:rPr>
                                <w:rFonts w:cs="Tahoma"/>
                                <w:color w:val="262626" w:themeColor="text1" w:themeTint="D9"/>
                                <w:sz w:val="20"/>
                                <w:szCs w:val="20"/>
                              </w:rPr>
                              <w:t>:</w:t>
                            </w:r>
                          </w:p>
                          <w:p w14:paraId="2CAC53F4" w14:textId="56B71991" w:rsidR="0008421E" w:rsidRPr="00AF116E" w:rsidRDefault="0008421E" w:rsidP="00BC37DB">
                            <w:pPr>
                              <w:pStyle w:val="ListParagraph"/>
                              <w:numPr>
                                <w:ilvl w:val="1"/>
                                <w:numId w:val="35"/>
                              </w:numPr>
                              <w:spacing w:before="0" w:after="0"/>
                              <w:rPr>
                                <w:rFonts w:cs="Tahoma"/>
                                <w:color w:val="262626" w:themeColor="text1" w:themeTint="D9"/>
                                <w:sz w:val="20"/>
                                <w:szCs w:val="20"/>
                              </w:rPr>
                            </w:pPr>
                            <w:r w:rsidRPr="00AF116E">
                              <w:rPr>
                                <w:rFonts w:cs="Tahoma"/>
                                <w:color w:val="262626" w:themeColor="text1" w:themeTint="D9"/>
                                <w:sz w:val="20"/>
                                <w:szCs w:val="20"/>
                              </w:rPr>
                              <w:t>deleting information</w:t>
                            </w:r>
                            <w:r w:rsidR="00AF116E" w:rsidRPr="00AF116E">
                              <w:rPr>
                                <w:rFonts w:cs="Tahoma"/>
                                <w:color w:val="262626" w:themeColor="text1" w:themeTint="D9"/>
                                <w:sz w:val="20"/>
                                <w:szCs w:val="20"/>
                              </w:rPr>
                              <w:t xml:space="preserve"> </w:t>
                            </w:r>
                            <w:r w:rsidRPr="00AF116E">
                              <w:rPr>
                                <w:rFonts w:cs="Tahoma"/>
                                <w:color w:val="262626" w:themeColor="text1" w:themeTint="D9"/>
                                <w:sz w:val="20"/>
                                <w:szCs w:val="20"/>
                              </w:rPr>
                              <w:t>that is not relevant to your centre</w:t>
                            </w:r>
                          </w:p>
                          <w:p w14:paraId="07D0D67C" w14:textId="77777777" w:rsidR="0008421E" w:rsidRPr="00AF116E" w:rsidRDefault="0008421E" w:rsidP="00BC37DB">
                            <w:pPr>
                              <w:pStyle w:val="ListParagraph"/>
                              <w:numPr>
                                <w:ilvl w:val="1"/>
                                <w:numId w:val="35"/>
                              </w:numPr>
                              <w:spacing w:before="0" w:after="0"/>
                              <w:rPr>
                                <w:rFonts w:cs="Tahoma"/>
                                <w:b/>
                                <w:color w:val="262626" w:themeColor="text1" w:themeTint="D9"/>
                                <w:sz w:val="20"/>
                                <w:szCs w:val="20"/>
                              </w:rPr>
                            </w:pPr>
                            <w:r w:rsidRPr="00AF116E">
                              <w:rPr>
                                <w:rFonts w:cs="Tahoma"/>
                                <w:color w:val="262626" w:themeColor="text1" w:themeTint="D9"/>
                                <w:sz w:val="20"/>
                                <w:szCs w:val="20"/>
                              </w:rPr>
                              <w:t>adding information that you consider should be included in your policy</w:t>
                            </w:r>
                          </w:p>
                          <w:p w14:paraId="7F0A1D57" w14:textId="5480669E" w:rsidR="0008421E" w:rsidRPr="005F510F" w:rsidRDefault="0008421E" w:rsidP="0008421E">
                            <w:pPr>
                              <w:jc w:val="center"/>
                              <w:rPr>
                                <w:rFonts w:cs="Arial"/>
                                <w:iCs/>
                                <w:sz w:val="18"/>
                                <w:szCs w:val="18"/>
                              </w:rPr>
                            </w:pPr>
                          </w:p>
                          <w:p w14:paraId="42149402" w14:textId="77777777" w:rsidR="0008421E" w:rsidRPr="00823853" w:rsidRDefault="0008421E" w:rsidP="0008421E">
                            <w:pPr>
                              <w:ind w:left="720"/>
                              <w:jc w:val="both"/>
                              <w:rPr>
                                <w:rFonts w:asciiTheme="minorHAnsi" w:hAnsiTheme="minorHAnsi" w:cs="Arial"/>
                                <w:b/>
                                <w:sz w:val="18"/>
                                <w:szCs w:val="18"/>
                              </w:rPr>
                            </w:pPr>
                            <w:r>
                              <w:rPr>
                                <w:rFonts w:cs="Arial"/>
                                <w:b/>
                                <w:sz w:val="18"/>
                                <w:szCs w:val="18"/>
                              </w:rPr>
                              <w:t xml:space="preserve"> </w:t>
                            </w:r>
                          </w:p>
                          <w:p w14:paraId="2A7EDEE1" w14:textId="77777777" w:rsidR="0008421E" w:rsidRPr="00022362" w:rsidRDefault="0008421E" w:rsidP="0008421E">
                            <w:pPr>
                              <w:pStyle w:val="Default"/>
                              <w:spacing w:before="120"/>
                              <w:rPr>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5AD3EB" id="_x0000_t202" coordsize="21600,21600" o:spt="202" path="m,l,21600r21600,l21600,xe">
                <v:stroke joinstyle="miter"/>
                <v:path gradientshapeok="t" o:connecttype="rect"/>
              </v:shapetype>
              <v:shape id="Text Box 6" o:spid="_x0000_s1026" type="#_x0000_t202" style="position:absolute;left:0;text-align:left;margin-left:28.2pt;margin-top:34.95pt;width:478pt;height:36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" fillcolor="#f2f2f2 [3052]" strokecolor="#039" strokeweight="1.5pt">
                <v:shadow on="t" color="white [3212]" opacity=".5" offset="1pt"/>
                <v:textbox>
                  <w:txbxContent>
                    <w:p w14:paraId="073BCF1B" w14:textId="312EC1EF" w:rsidR="0008421E" w:rsidRPr="006962C7" w:rsidRDefault="00840B86" w:rsidP="0008421E">
                      <w:pPr>
                        <w:jc w:val="center"/>
                        <w:rPr>
                          <w:rFonts w:cs="Tahoma"/>
                        </w:rPr>
                      </w:pPr>
                      <w:r w:rsidRPr="006962C7">
                        <w:rPr>
                          <w:rFonts w:cs="Tahoma"/>
                          <w:color w:val="003399"/>
                        </w:rPr>
                        <w:t>WHISTLEBLOWING</w:t>
                      </w:r>
                      <w:r w:rsidR="0008421E" w:rsidRPr="006962C7">
                        <w:rPr>
                          <w:rFonts w:cs="Tahoma"/>
                          <w:color w:val="003399"/>
                        </w:rPr>
                        <w:t xml:space="preserve"> POLICY (Exams) TEMPLATE</w:t>
                      </w:r>
                    </w:p>
                    <w:p w14:paraId="1C84E10E" w14:textId="77777777" w:rsidR="0008421E" w:rsidRPr="00193760" w:rsidRDefault="0008421E" w:rsidP="0008421E">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3033058C" w14:textId="77777777" w:rsidR="006962C7" w:rsidRPr="00517BAD" w:rsidRDefault="006962C7" w:rsidP="006962C7">
                      <w:pPr>
                        <w:spacing w:after="0"/>
                        <w:rPr>
                          <w:rFonts w:cs="Tahoma"/>
                          <w:b/>
                          <w:color w:val="595959" w:themeColor="text1" w:themeTint="A6"/>
                          <w:sz w:val="20"/>
                          <w:szCs w:val="20"/>
                        </w:rPr>
                      </w:pPr>
                      <w:r w:rsidRPr="00517BAD">
                        <w:rPr>
                          <w:rFonts w:cs="Tahoma"/>
                          <w:b/>
                          <w:color w:val="595959" w:themeColor="text1" w:themeTint="A6"/>
                          <w:sz w:val="20"/>
                          <w:szCs w:val="20"/>
                        </w:rPr>
                        <w:t>Changes made to the contents of this template since the previous (</w:t>
                      </w:r>
                      <w:r w:rsidRPr="008E0B77">
                        <w:rPr>
                          <w:rFonts w:cs="Tahoma"/>
                          <w:b/>
                          <w:color w:val="595959" w:themeColor="text1" w:themeTint="A6"/>
                          <w:sz w:val="20"/>
                          <w:szCs w:val="20"/>
                          <w:highlight w:val="yellow"/>
                        </w:rPr>
                        <w:t>2023/24</w:t>
                      </w:r>
                      <w:r w:rsidRPr="00517BAD">
                        <w:rPr>
                          <w:rFonts w:cs="Tahoma"/>
                          <w:b/>
                          <w:color w:val="595959" w:themeColor="text1" w:themeTint="A6"/>
                          <w:sz w:val="20"/>
                          <w:szCs w:val="20"/>
                        </w:rPr>
                        <w:t xml:space="preserve">) version are </w:t>
                      </w:r>
                      <w:r w:rsidRPr="008E0B77">
                        <w:rPr>
                          <w:rFonts w:cs="Tahoma"/>
                          <w:b/>
                          <w:color w:val="595959" w:themeColor="text1" w:themeTint="A6"/>
                          <w:sz w:val="20"/>
                          <w:szCs w:val="20"/>
                          <w:highlight w:val="yellow"/>
                        </w:rPr>
                        <w:t>highlighted</w:t>
                      </w:r>
                      <w:r w:rsidRPr="00517BAD">
                        <w:rPr>
                          <w:rFonts w:cs="Tahoma"/>
                          <w:b/>
                          <w:color w:val="595959" w:themeColor="text1" w:themeTint="A6"/>
                          <w:sz w:val="20"/>
                          <w:szCs w:val="20"/>
                        </w:rPr>
                        <w:t xml:space="preserve"> for easy identification</w:t>
                      </w:r>
                      <w:r w:rsidRPr="00517BAD">
                        <w:rPr>
                          <w:rFonts w:cs="Tahoma"/>
                          <w:bCs/>
                          <w:color w:val="595959" w:themeColor="text1" w:themeTint="A6"/>
                          <w:sz w:val="20"/>
                          <w:szCs w:val="20"/>
                        </w:rPr>
                        <w:t>.</w:t>
                      </w:r>
                      <w:r w:rsidRPr="00517BAD">
                        <w:rPr>
                          <w:rFonts w:cs="Tahoma"/>
                          <w:b/>
                          <w:color w:val="595959" w:themeColor="text1" w:themeTint="A6"/>
                          <w:sz w:val="20"/>
                          <w:szCs w:val="20"/>
                        </w:rPr>
                        <w:t xml:space="preserve"> </w:t>
                      </w:r>
                      <w:r w:rsidRPr="00517BAD">
                        <w:rPr>
                          <w:rFonts w:cs="Tahoma"/>
                          <w:color w:val="595959" w:themeColor="text1" w:themeTint="A6"/>
                          <w:sz w:val="20"/>
                          <w:szCs w:val="20"/>
                        </w:rPr>
                        <w:t xml:space="preserve">A change </w:t>
                      </w:r>
                      <w:r>
                        <w:rPr>
                          <w:rFonts w:cs="Tahoma"/>
                          <w:color w:val="595959" w:themeColor="text1" w:themeTint="A6"/>
                          <w:sz w:val="20"/>
                          <w:szCs w:val="20"/>
                        </w:rPr>
                        <w:t>may</w:t>
                      </w:r>
                      <w:r w:rsidRPr="00517BAD">
                        <w:rPr>
                          <w:rFonts w:cs="Tahoma"/>
                          <w:color w:val="595959" w:themeColor="text1" w:themeTint="A6"/>
                          <w:sz w:val="20"/>
                          <w:szCs w:val="20"/>
                        </w:rPr>
                        <w:t xml:space="preserve"> not always signify a regulation change/update, but rather to provide clarity.</w:t>
                      </w:r>
                    </w:p>
                    <w:p w14:paraId="01588296" w14:textId="14979D6F" w:rsidR="00ED2EBA" w:rsidRDefault="00C43B3F" w:rsidP="0008421E">
                      <w:pPr>
                        <w:rPr>
                          <w:rFonts w:cs="Tahoma"/>
                          <w:color w:val="262626" w:themeColor="text1" w:themeTint="D9"/>
                          <w:sz w:val="20"/>
                          <w:szCs w:val="20"/>
                        </w:rPr>
                      </w:pPr>
                      <w:r w:rsidRPr="00C43B3F">
                        <w:rPr>
                          <w:rFonts w:cs="Tahoma"/>
                          <w:bCs/>
                          <w:color w:val="262626" w:themeColor="text1" w:themeTint="D9"/>
                          <w:sz w:val="20"/>
                          <w:szCs w:val="20"/>
                        </w:rPr>
                        <w:t>G</w:t>
                      </w:r>
                      <w:r w:rsidR="00E54D59" w:rsidRPr="00A601CB">
                        <w:rPr>
                          <w:rFonts w:cs="Tahoma"/>
                          <w:color w:val="262626" w:themeColor="text1" w:themeTint="D9"/>
                          <w:sz w:val="20"/>
                          <w:szCs w:val="20"/>
                        </w:rPr>
                        <w:t xml:space="preserve">uidance provided by your centre’s relevant authority (Local Authority, Academy Trust etc.) should be the primary source of reference relating to </w:t>
                      </w:r>
                      <w:r>
                        <w:rPr>
                          <w:rFonts w:cs="Tahoma"/>
                          <w:color w:val="262626" w:themeColor="text1" w:themeTint="D9"/>
                          <w:sz w:val="20"/>
                          <w:szCs w:val="20"/>
                        </w:rPr>
                        <w:t xml:space="preserve">the </w:t>
                      </w:r>
                      <w:r w:rsidR="00E54D59" w:rsidRPr="00A601CB">
                        <w:rPr>
                          <w:rFonts w:cs="Tahoma"/>
                          <w:color w:val="262626" w:themeColor="text1" w:themeTint="D9"/>
                          <w:sz w:val="20"/>
                          <w:szCs w:val="20"/>
                        </w:rPr>
                        <w:t xml:space="preserve">centre-wide </w:t>
                      </w:r>
                      <w:r w:rsidR="00E54D59">
                        <w:rPr>
                          <w:rFonts w:cs="Tahoma"/>
                          <w:color w:val="262626" w:themeColor="text1" w:themeTint="D9"/>
                          <w:sz w:val="20"/>
                          <w:szCs w:val="20"/>
                        </w:rPr>
                        <w:t>whistleblowing</w:t>
                      </w:r>
                      <w:r w:rsidR="00E54D59" w:rsidRPr="00A601CB">
                        <w:rPr>
                          <w:rFonts w:cs="Tahoma"/>
                          <w:color w:val="262626" w:themeColor="text1" w:themeTint="D9"/>
                          <w:sz w:val="20"/>
                          <w:szCs w:val="20"/>
                        </w:rPr>
                        <w:t xml:space="preserve"> policy and associated </w:t>
                      </w:r>
                      <w:r w:rsidR="00E54D59" w:rsidRPr="00ED2EBA">
                        <w:rPr>
                          <w:rFonts w:cs="Tahoma"/>
                          <w:color w:val="262626" w:themeColor="text1" w:themeTint="D9"/>
                          <w:sz w:val="20"/>
                          <w:szCs w:val="20"/>
                        </w:rPr>
                        <w:t>procedure(s)</w:t>
                      </w:r>
                      <w:r w:rsidR="000B6E85" w:rsidRPr="00ED2EBA">
                        <w:rPr>
                          <w:rFonts w:cs="Tahoma"/>
                          <w:color w:val="262626" w:themeColor="text1" w:themeTint="D9"/>
                          <w:sz w:val="20"/>
                          <w:szCs w:val="20"/>
                        </w:rPr>
                        <w:t>, however, it is also a JCQ requirement to produce a centre-specific whistleblowing policy related to the management, administration and conducting of examinations and assessments</w:t>
                      </w:r>
                      <w:r w:rsidR="00E54D59" w:rsidRPr="00ED2EBA">
                        <w:rPr>
                          <w:rFonts w:cs="Tahoma"/>
                          <w:color w:val="262626" w:themeColor="text1" w:themeTint="D9"/>
                          <w:sz w:val="20"/>
                          <w:szCs w:val="20"/>
                        </w:rPr>
                        <w:t xml:space="preserve">. </w:t>
                      </w:r>
                    </w:p>
                    <w:p w14:paraId="2EF25C7D" w14:textId="5AEAB42D" w:rsidR="00ED2EBA" w:rsidRPr="006962C7" w:rsidRDefault="00ED2EBA" w:rsidP="006962C7">
                      <w:pPr>
                        <w:ind w:left="720"/>
                        <w:rPr>
                          <w:rFonts w:cs="Tahoma"/>
                          <w:color w:val="595959" w:themeColor="text1" w:themeTint="A6"/>
                          <w:sz w:val="20"/>
                          <w:szCs w:val="20"/>
                        </w:rPr>
                      </w:pPr>
                      <w:r w:rsidRPr="00ED2EBA">
                        <w:rPr>
                          <w:rFonts w:cs="Tahoma"/>
                          <w:color w:val="595959" w:themeColor="text1" w:themeTint="A6"/>
                          <w:sz w:val="20"/>
                          <w:szCs w:val="20"/>
                        </w:rPr>
                        <w:t>(</w:t>
                      </w:r>
                      <w:hyperlink r:id="rId10" w:history="1">
                        <w:r w:rsidRPr="00ED2EBA">
                          <w:rPr>
                            <w:rStyle w:val="Hyperlink"/>
                            <w:rFonts w:cs="Tahoma"/>
                            <w:color w:val="0070C0"/>
                            <w:sz w:val="20"/>
                            <w:szCs w:val="20"/>
                            <w:u w:val="none"/>
                          </w:rPr>
                          <w:t>GR</w:t>
                        </w:r>
                      </w:hyperlink>
                      <w:r w:rsidRPr="00ED2EBA">
                        <w:rPr>
                          <w:rFonts w:cs="Tahoma"/>
                          <w:color w:val="595959" w:themeColor="text1" w:themeTint="A6"/>
                          <w:sz w:val="20"/>
                          <w:szCs w:val="20"/>
                        </w:rPr>
                        <w:t xml:space="preserve">, section 5.3) It is the responsibility of the </w:t>
                      </w:r>
                      <w:r w:rsidRPr="00ED2EBA">
                        <w:rPr>
                          <w:rFonts w:cs="Tahoma"/>
                          <w:b/>
                          <w:color w:val="595959" w:themeColor="text1" w:themeTint="A6"/>
                          <w:sz w:val="20"/>
                          <w:szCs w:val="20"/>
                        </w:rPr>
                        <w:t>head of centre</w:t>
                      </w:r>
                      <w:r w:rsidRPr="00ED2EBA">
                        <w:rPr>
                          <w:rFonts w:cs="Tahoma"/>
                          <w:color w:val="595959" w:themeColor="text1" w:themeTint="A6"/>
                          <w:sz w:val="20"/>
                          <w:szCs w:val="20"/>
                        </w:rPr>
                        <w:t xml:space="preserve"> to ensure that </w:t>
                      </w:r>
                      <w:r w:rsidR="006962C7">
                        <w:rPr>
                          <w:rFonts w:cs="Tahoma"/>
                          <w:color w:val="595959" w:themeColor="text1" w:themeTint="A6"/>
                          <w:sz w:val="20"/>
                          <w:szCs w:val="20"/>
                        </w:rPr>
                        <w:t>their</w:t>
                      </w:r>
                      <w:r w:rsidRPr="00ED2EBA">
                        <w:rPr>
                          <w:rFonts w:cs="Tahoma"/>
                          <w:color w:val="595959" w:themeColor="text1" w:themeTint="A6"/>
                          <w:sz w:val="20"/>
                          <w:szCs w:val="20"/>
                        </w:rPr>
                        <w:t xml:space="preserve"> centre: ...has in place the following policies for inspection</w:t>
                      </w:r>
                      <w:r w:rsidR="006962C7">
                        <w:rPr>
                          <w:rFonts w:cs="Tahoma"/>
                          <w:color w:val="595959" w:themeColor="text1" w:themeTint="A6"/>
                          <w:sz w:val="20"/>
                          <w:szCs w:val="20"/>
                        </w:rPr>
                        <w:t xml:space="preserve"> t</w:t>
                      </w:r>
                      <w:r w:rsidR="006962C7" w:rsidRPr="006962C7">
                        <w:rPr>
                          <w:rFonts w:cs="Tahoma"/>
                          <w:color w:val="595959" w:themeColor="text1" w:themeTint="A6"/>
                          <w:sz w:val="20"/>
                          <w:szCs w:val="20"/>
                        </w:rPr>
                        <w:t>hat must be reviewed and updated annually</w:t>
                      </w:r>
                      <w:r w:rsidRPr="00ED2EBA">
                        <w:rPr>
                          <w:rFonts w:cs="Tahoma"/>
                          <w:color w:val="595959" w:themeColor="text1" w:themeTint="A6"/>
                          <w:sz w:val="20"/>
                          <w:szCs w:val="20"/>
                        </w:rPr>
                        <w:t>... a written whistleblowing policy</w:t>
                      </w:r>
                    </w:p>
                    <w:p w14:paraId="331B5E71" w14:textId="2F4190B0" w:rsidR="0008421E" w:rsidRPr="00ED2EBA" w:rsidRDefault="0008421E" w:rsidP="0008421E">
                      <w:pPr>
                        <w:rPr>
                          <w:rFonts w:cs="Tahoma"/>
                          <w:color w:val="262626" w:themeColor="text1" w:themeTint="D9"/>
                          <w:sz w:val="20"/>
                          <w:szCs w:val="20"/>
                        </w:rPr>
                      </w:pPr>
                      <w:r w:rsidRPr="00ED2EBA">
                        <w:rPr>
                          <w:rFonts w:cs="Tahoma"/>
                          <w:color w:val="262626" w:themeColor="text1" w:themeTint="D9"/>
                          <w:sz w:val="20"/>
                          <w:szCs w:val="20"/>
                        </w:rPr>
                        <w:t xml:space="preserve">This template is provided as an example </w:t>
                      </w:r>
                      <w:r w:rsidRPr="00ED2EBA">
                        <w:rPr>
                          <w:rFonts w:cs="Tahoma"/>
                          <w:b/>
                          <w:color w:val="262626" w:themeColor="text1" w:themeTint="D9"/>
                          <w:sz w:val="20"/>
                          <w:szCs w:val="20"/>
                          <w:u w:val="single"/>
                        </w:rPr>
                        <w:t>only</w:t>
                      </w:r>
                      <w:r w:rsidRPr="00ED2EBA">
                        <w:rPr>
                          <w:rFonts w:cs="Tahoma"/>
                          <w:b/>
                          <w:color w:val="262626" w:themeColor="text1" w:themeTint="D9"/>
                          <w:sz w:val="20"/>
                          <w:szCs w:val="20"/>
                        </w:rPr>
                        <w:t xml:space="preserve"> </w:t>
                      </w:r>
                      <w:r w:rsidRPr="00ED2EBA">
                        <w:rPr>
                          <w:rFonts w:cs="Tahoma"/>
                          <w:color w:val="262626" w:themeColor="text1" w:themeTint="D9"/>
                          <w:sz w:val="20"/>
                          <w:szCs w:val="20"/>
                        </w:rPr>
                        <w:t xml:space="preserve">and is designed to provide a starting point/framework on which to build a </w:t>
                      </w:r>
                      <w:r w:rsidR="00E54D59" w:rsidRPr="00ED2EBA">
                        <w:rPr>
                          <w:rFonts w:cs="Tahoma"/>
                          <w:color w:val="262626" w:themeColor="text1" w:themeTint="D9"/>
                          <w:sz w:val="20"/>
                          <w:szCs w:val="20"/>
                        </w:rPr>
                        <w:t xml:space="preserve">supplementary </w:t>
                      </w:r>
                      <w:r w:rsidRPr="00ED2EBA">
                        <w:rPr>
                          <w:rFonts w:cs="Tahoma"/>
                          <w:color w:val="262626" w:themeColor="text1" w:themeTint="D9"/>
                          <w:sz w:val="20"/>
                          <w:szCs w:val="20"/>
                        </w:rPr>
                        <w:t xml:space="preserve">policy relating </w:t>
                      </w:r>
                      <w:r w:rsidR="00E54D59" w:rsidRPr="00ED2EBA">
                        <w:rPr>
                          <w:rFonts w:cs="Tahoma"/>
                          <w:color w:val="262626" w:themeColor="text1" w:themeTint="D9"/>
                          <w:sz w:val="20"/>
                          <w:szCs w:val="20"/>
                        </w:rPr>
                        <w:t xml:space="preserve">to </w:t>
                      </w:r>
                      <w:r w:rsidR="00840B86" w:rsidRPr="00ED2EBA">
                        <w:rPr>
                          <w:rFonts w:cs="Tahoma"/>
                          <w:color w:val="262626" w:themeColor="text1" w:themeTint="D9"/>
                          <w:sz w:val="20"/>
                          <w:szCs w:val="20"/>
                        </w:rPr>
                        <w:t>exams/assessments.</w:t>
                      </w:r>
                    </w:p>
                    <w:p w14:paraId="5EAD5E26" w14:textId="77777777" w:rsidR="0008421E" w:rsidRPr="0079704F" w:rsidRDefault="0008421E" w:rsidP="0008421E">
                      <w:pPr>
                        <w:rPr>
                          <w:rFonts w:cs="Tahoma"/>
                          <w:color w:val="262626" w:themeColor="text1" w:themeTint="D9"/>
                          <w:sz w:val="20"/>
                          <w:szCs w:val="20"/>
                        </w:rPr>
                      </w:pPr>
                      <w:r w:rsidRPr="0079704F">
                        <w:rPr>
                          <w:rFonts w:cs="Tahoma"/>
                          <w:color w:val="262626" w:themeColor="text1" w:themeTint="D9"/>
                          <w:sz w:val="20"/>
                          <w:szCs w:val="20"/>
                        </w:rPr>
                        <w:t xml:space="preserve">A table to record key staff (job role and name) involved in the </w:t>
                      </w:r>
                      <w:r>
                        <w:rPr>
                          <w:rFonts w:cs="Tahoma"/>
                          <w:color w:val="262626" w:themeColor="text1" w:themeTint="D9"/>
                          <w:sz w:val="20"/>
                          <w:szCs w:val="20"/>
                        </w:rPr>
                        <w:t>policy</w:t>
                      </w:r>
                      <w:r w:rsidRPr="0079704F">
                        <w:rPr>
                          <w:rFonts w:cs="Tahoma"/>
                          <w:color w:val="262626" w:themeColor="text1" w:themeTint="D9"/>
                          <w:sz w:val="20"/>
                          <w:szCs w:val="20"/>
                        </w:rPr>
                        <w:t xml:space="preserve"> is included at the beginning of the template. You may choose to delete this or use it as good practice by inserting </w:t>
                      </w:r>
                      <w:r w:rsidRPr="0079704F">
                        <w:rPr>
                          <w:rFonts w:cs="Tahoma"/>
                          <w:b/>
                          <w:color w:val="262626" w:themeColor="text1" w:themeTint="D9"/>
                          <w:sz w:val="20"/>
                          <w:szCs w:val="20"/>
                        </w:rPr>
                        <w:t>all</w:t>
                      </w:r>
                      <w:r w:rsidRPr="0079704F">
                        <w:rPr>
                          <w:rFonts w:cs="Tahoma"/>
                          <w:color w:val="262626" w:themeColor="text1" w:themeTint="D9"/>
                          <w:sz w:val="20"/>
                          <w:szCs w:val="20"/>
                        </w:rPr>
                        <w:t xml:space="preserve"> relevant roles and staff names (some example roles have been provided).</w:t>
                      </w:r>
                    </w:p>
                    <w:p w14:paraId="7F2A9B5E" w14:textId="7E056662" w:rsidR="0008421E" w:rsidRPr="00AF116E" w:rsidRDefault="0008421E" w:rsidP="00AF116E">
                      <w:pPr>
                        <w:spacing w:after="0"/>
                        <w:rPr>
                          <w:rFonts w:cs="Tahoma"/>
                          <w:b/>
                          <w:color w:val="262626" w:themeColor="text1" w:themeTint="D9"/>
                          <w:sz w:val="20"/>
                          <w:szCs w:val="20"/>
                        </w:rPr>
                      </w:pPr>
                      <w:r w:rsidRPr="00AF116E">
                        <w:rPr>
                          <w:rFonts w:cs="Tahoma"/>
                          <w:b/>
                          <w:color w:val="262626" w:themeColor="text1" w:themeTint="D9"/>
                          <w:sz w:val="20"/>
                          <w:szCs w:val="20"/>
                        </w:rPr>
                        <w:t>Important points to note</w:t>
                      </w:r>
                    </w:p>
                    <w:p w14:paraId="1BC4E8B6" w14:textId="77777777" w:rsidR="0008421E" w:rsidRPr="00AF116E" w:rsidRDefault="0008421E" w:rsidP="0008421E">
                      <w:pPr>
                        <w:pStyle w:val="ListParagraph"/>
                        <w:numPr>
                          <w:ilvl w:val="0"/>
                          <w:numId w:val="20"/>
                        </w:numPr>
                        <w:spacing w:before="0" w:after="0"/>
                        <w:rPr>
                          <w:rFonts w:cs="Tahoma"/>
                          <w:b/>
                          <w:color w:val="262626" w:themeColor="text1" w:themeTint="D9"/>
                          <w:sz w:val="20"/>
                          <w:szCs w:val="20"/>
                        </w:rPr>
                      </w:pPr>
                      <w:r w:rsidRPr="00AF116E">
                        <w:rPr>
                          <w:rFonts w:cs="Tahoma"/>
                          <w:color w:val="262626" w:themeColor="text1" w:themeTint="D9"/>
                          <w:sz w:val="20"/>
                          <w:szCs w:val="20"/>
                        </w:rPr>
                        <w:t>[</w:t>
                      </w:r>
                      <w:r w:rsidRPr="00AF116E">
                        <w:rPr>
                          <w:rFonts w:cs="Tahoma"/>
                          <w:b/>
                          <w:bCs/>
                          <w:color w:val="262626" w:themeColor="text1" w:themeTint="D9"/>
                          <w:sz w:val="20"/>
                          <w:szCs w:val="20"/>
                        </w:rPr>
                        <w:t>Insert</w:t>
                      </w:r>
                      <w:r w:rsidRPr="00AF116E">
                        <w:rPr>
                          <w:rFonts w:cs="Tahoma"/>
                          <w:color w:val="262626" w:themeColor="text1" w:themeTint="D9"/>
                          <w:sz w:val="20"/>
                          <w:szCs w:val="20"/>
                        </w:rPr>
                        <w:t>…] fields are in coloured font to highlight them – this is to ensure the need to insert relevant centre-specific details stands out and is not overlooked – change colour to ‘automatic’ when inserted</w:t>
                      </w:r>
                    </w:p>
                    <w:p w14:paraId="6C2042B7" w14:textId="69B31CD9" w:rsidR="0008421E" w:rsidRPr="00AF116E" w:rsidRDefault="00AF116E" w:rsidP="0008421E">
                      <w:pPr>
                        <w:pStyle w:val="ListParagraph"/>
                        <w:numPr>
                          <w:ilvl w:val="0"/>
                          <w:numId w:val="20"/>
                        </w:numPr>
                        <w:spacing w:before="0" w:after="0"/>
                        <w:rPr>
                          <w:rFonts w:cs="Tahoma"/>
                          <w:b/>
                          <w:color w:val="262626" w:themeColor="text1" w:themeTint="D9"/>
                          <w:sz w:val="20"/>
                          <w:szCs w:val="20"/>
                        </w:rPr>
                      </w:pPr>
                      <w:r w:rsidRPr="00AF116E">
                        <w:rPr>
                          <w:rFonts w:cs="Tahoma"/>
                          <w:color w:val="262626" w:themeColor="text1" w:themeTint="D9"/>
                          <w:sz w:val="20"/>
                          <w:szCs w:val="20"/>
                        </w:rPr>
                        <w:t>Customise this template for use in your</w:t>
                      </w:r>
                      <w:r w:rsidR="0008421E" w:rsidRPr="00AF116E">
                        <w:rPr>
                          <w:rFonts w:cs="Tahoma"/>
                          <w:color w:val="262626" w:themeColor="text1" w:themeTint="D9"/>
                          <w:sz w:val="20"/>
                          <w:szCs w:val="20"/>
                        </w:rPr>
                        <w:t xml:space="preserve"> centre by</w:t>
                      </w:r>
                      <w:r w:rsidRPr="00AF116E">
                        <w:rPr>
                          <w:rFonts w:cs="Tahoma"/>
                          <w:color w:val="262626" w:themeColor="text1" w:themeTint="D9"/>
                          <w:sz w:val="20"/>
                          <w:szCs w:val="20"/>
                        </w:rPr>
                        <w:t>:</w:t>
                      </w:r>
                    </w:p>
                    <w:p w14:paraId="2CAC53F4" w14:textId="56B71991" w:rsidR="0008421E" w:rsidRPr="00AF116E" w:rsidRDefault="0008421E" w:rsidP="00BC37DB">
                      <w:pPr>
                        <w:pStyle w:val="ListParagraph"/>
                        <w:numPr>
                          <w:ilvl w:val="1"/>
                          <w:numId w:val="35"/>
                        </w:numPr>
                        <w:spacing w:before="0" w:after="0"/>
                        <w:rPr>
                          <w:rFonts w:cs="Tahoma"/>
                          <w:color w:val="262626" w:themeColor="text1" w:themeTint="D9"/>
                          <w:sz w:val="20"/>
                          <w:szCs w:val="20"/>
                        </w:rPr>
                      </w:pPr>
                      <w:r w:rsidRPr="00AF116E">
                        <w:rPr>
                          <w:rFonts w:cs="Tahoma"/>
                          <w:color w:val="262626" w:themeColor="text1" w:themeTint="D9"/>
                          <w:sz w:val="20"/>
                          <w:szCs w:val="20"/>
                        </w:rPr>
                        <w:t>deleting information</w:t>
                      </w:r>
                      <w:r w:rsidR="00AF116E" w:rsidRPr="00AF116E">
                        <w:rPr>
                          <w:rFonts w:cs="Tahoma"/>
                          <w:color w:val="262626" w:themeColor="text1" w:themeTint="D9"/>
                          <w:sz w:val="20"/>
                          <w:szCs w:val="20"/>
                        </w:rPr>
                        <w:t xml:space="preserve"> </w:t>
                      </w:r>
                      <w:r w:rsidRPr="00AF116E">
                        <w:rPr>
                          <w:rFonts w:cs="Tahoma"/>
                          <w:color w:val="262626" w:themeColor="text1" w:themeTint="D9"/>
                          <w:sz w:val="20"/>
                          <w:szCs w:val="20"/>
                        </w:rPr>
                        <w:t>that is not relevant to your centre</w:t>
                      </w:r>
                    </w:p>
                    <w:p w14:paraId="07D0D67C" w14:textId="77777777" w:rsidR="0008421E" w:rsidRPr="00AF116E" w:rsidRDefault="0008421E" w:rsidP="00BC37DB">
                      <w:pPr>
                        <w:pStyle w:val="ListParagraph"/>
                        <w:numPr>
                          <w:ilvl w:val="1"/>
                          <w:numId w:val="35"/>
                        </w:numPr>
                        <w:spacing w:before="0" w:after="0"/>
                        <w:rPr>
                          <w:rFonts w:cs="Tahoma"/>
                          <w:b/>
                          <w:color w:val="262626" w:themeColor="text1" w:themeTint="D9"/>
                          <w:sz w:val="20"/>
                          <w:szCs w:val="20"/>
                        </w:rPr>
                      </w:pPr>
                      <w:r w:rsidRPr="00AF116E">
                        <w:rPr>
                          <w:rFonts w:cs="Tahoma"/>
                          <w:color w:val="262626" w:themeColor="text1" w:themeTint="D9"/>
                          <w:sz w:val="20"/>
                          <w:szCs w:val="20"/>
                        </w:rPr>
                        <w:t>adding information that you consider should be included in your policy</w:t>
                      </w:r>
                    </w:p>
                    <w:p w14:paraId="7F0A1D57" w14:textId="5480669E" w:rsidR="0008421E" w:rsidRPr="005F510F" w:rsidRDefault="0008421E" w:rsidP="0008421E">
                      <w:pPr>
                        <w:jc w:val="center"/>
                        <w:rPr>
                          <w:rFonts w:cs="Arial"/>
                          <w:iCs/>
                          <w:sz w:val="18"/>
                          <w:szCs w:val="18"/>
                        </w:rPr>
                      </w:pPr>
                    </w:p>
                    <w:p w14:paraId="42149402" w14:textId="77777777" w:rsidR="0008421E" w:rsidRPr="00823853" w:rsidRDefault="0008421E" w:rsidP="0008421E">
                      <w:pPr>
                        <w:ind w:left="720"/>
                        <w:jc w:val="both"/>
                        <w:rPr>
                          <w:rFonts w:asciiTheme="minorHAnsi" w:hAnsiTheme="minorHAnsi" w:cs="Arial"/>
                          <w:b/>
                          <w:sz w:val="18"/>
                          <w:szCs w:val="18"/>
                        </w:rPr>
                      </w:pPr>
                      <w:r>
                        <w:rPr>
                          <w:rFonts w:cs="Arial"/>
                          <w:b/>
                          <w:sz w:val="18"/>
                          <w:szCs w:val="18"/>
                        </w:rPr>
                        <w:t xml:space="preserve"> </w:t>
                      </w:r>
                    </w:p>
                    <w:p w14:paraId="2A7EDEE1" w14:textId="77777777" w:rsidR="0008421E" w:rsidRPr="00022362" w:rsidRDefault="0008421E" w:rsidP="0008421E">
                      <w:pPr>
                        <w:pStyle w:val="Default"/>
                        <w:spacing w:before="120"/>
                        <w:rPr>
                          <w:bCs/>
                          <w:sz w:val="16"/>
                          <w:szCs w:val="16"/>
                        </w:rPr>
                      </w:pPr>
                    </w:p>
                  </w:txbxContent>
                </v:textbox>
                <w10:wrap anchorx="margin"/>
              </v:shape>
            </w:pict>
          </mc:Fallback>
        </mc:AlternateContent>
      </w:r>
      <w:r w:rsidR="009D3D37">
        <w:rPr>
          <w:rFonts w:cs="Arial"/>
          <w:b/>
          <w:noProof/>
          <w:color w:val="003399"/>
          <w:sz w:val="28"/>
          <w:szCs w:val="28"/>
        </w:rPr>
        <w:br w:type="page"/>
      </w:r>
    </w:p>
    <w:bookmarkEnd w:id="2"/>
    <w:p w14:paraId="023D192D" w14:textId="77777777" w:rsidR="00840B86" w:rsidRPr="00B64AE7" w:rsidRDefault="00840B86" w:rsidP="00840B86">
      <w:pPr>
        <w:rPr>
          <w:rFonts w:eastAsia="Times New Roman" w:cs="Tahoma"/>
          <w:b/>
          <w:bCs/>
          <w:color w:val="003399"/>
          <w:sz w:val="24"/>
          <w:szCs w:val="24"/>
        </w:rPr>
      </w:pPr>
      <w:r w:rsidRPr="00A0184E">
        <w:rPr>
          <w:rFonts w:eastAsia="Times New Roman" w:cs="Tahoma"/>
          <w:b/>
          <w:bCs/>
          <w:color w:val="003399"/>
          <w:sz w:val="24"/>
          <w:szCs w:val="24"/>
        </w:rPr>
        <w:lastRenderedPageBreak/>
        <w:t>Introduction</w:t>
      </w:r>
    </w:p>
    <w:p w14:paraId="763BE852" w14:textId="4D3BADCB" w:rsidR="004260D5" w:rsidRDefault="004260D5" w:rsidP="004260D5">
      <w:pPr>
        <w:spacing w:before="0"/>
        <w:rPr>
          <w:rFonts w:cs="Tahoma"/>
          <w:color w:val="000000"/>
        </w:rPr>
      </w:pPr>
      <w:r w:rsidRPr="00E53222">
        <w:rPr>
          <w:rFonts w:cs="Tahoma"/>
          <w:color w:val="000000"/>
        </w:rPr>
        <w:t>Whistleblowing</w:t>
      </w:r>
      <w:r>
        <w:rPr>
          <w:rFonts w:cs="Tahoma"/>
          <w:color w:val="000000"/>
        </w:rPr>
        <w:t xml:space="preserve"> at </w:t>
      </w:r>
      <w:r w:rsidR="00ED2EBA" w:rsidRPr="00B64AE7">
        <w:rPr>
          <w:rFonts w:eastAsia="Times New Roman" w:cs="Tahoma"/>
          <w:color w:val="FF3300"/>
        </w:rPr>
        <w:t>[</w:t>
      </w:r>
      <w:r w:rsidR="00CD04F8">
        <w:rPr>
          <w:rFonts w:eastAsia="Times New Roman" w:cs="Tahoma"/>
          <w:color w:val="FF3300"/>
        </w:rPr>
        <w:t>C</w:t>
      </w:r>
      <w:r w:rsidR="00ED2EBA" w:rsidRPr="00B64AE7">
        <w:rPr>
          <w:rFonts w:eastAsia="Times New Roman" w:cs="Tahoma"/>
          <w:color w:val="FF3300"/>
        </w:rPr>
        <w:t>entre name]</w:t>
      </w:r>
      <w:r w:rsidR="00ED2EBA">
        <w:rPr>
          <w:rFonts w:eastAsia="Times New Roman" w:cs="Tahoma"/>
          <w:color w:val="FF3300"/>
        </w:rPr>
        <w:t xml:space="preserve"> </w:t>
      </w:r>
      <w:r>
        <w:rPr>
          <w:rFonts w:cs="Tahoma"/>
          <w:color w:val="000000"/>
        </w:rPr>
        <w:t>is</w:t>
      </w:r>
      <w:r w:rsidRPr="00E53222">
        <w:rPr>
          <w:rFonts w:cs="Tahoma"/>
          <w:color w:val="000000"/>
        </w:rPr>
        <w:t xml:space="preserve"> encouraged, not penalised, and staff </w:t>
      </w:r>
      <w:r>
        <w:rPr>
          <w:rFonts w:cs="Tahoma"/>
          <w:color w:val="000000"/>
        </w:rPr>
        <w:t xml:space="preserve">are made aware that </w:t>
      </w:r>
      <w:r w:rsidRPr="00E53222">
        <w:rPr>
          <w:rFonts w:cs="Tahoma"/>
          <w:color w:val="000000"/>
        </w:rPr>
        <w:t>they have a duty to report any concerns they have about the conduct of examinations</w:t>
      </w:r>
      <w:r w:rsidR="00640F75">
        <w:rPr>
          <w:rFonts w:cs="Tahoma"/>
          <w:color w:val="000000"/>
        </w:rPr>
        <w:t xml:space="preserve"> </w:t>
      </w:r>
      <w:r w:rsidR="00640F75" w:rsidRPr="00640F75">
        <w:rPr>
          <w:rFonts w:cs="Tahoma"/>
          <w:color w:val="000000"/>
          <w:highlight w:val="yellow"/>
        </w:rPr>
        <w:t>and assessments</w:t>
      </w:r>
      <w:r>
        <w:rPr>
          <w:rFonts w:cs="Tahoma"/>
          <w:color w:val="000000"/>
        </w:rPr>
        <w:t>.</w:t>
      </w:r>
    </w:p>
    <w:p w14:paraId="4E0BA049" w14:textId="2C8D27E5" w:rsidR="004260D5" w:rsidRPr="004260D5" w:rsidRDefault="004260D5" w:rsidP="004260D5">
      <w:pPr>
        <w:spacing w:before="0"/>
        <w:rPr>
          <w:rFonts w:cs="Tahoma"/>
          <w:color w:val="000000"/>
        </w:rPr>
      </w:pPr>
      <w:r>
        <w:rPr>
          <w:rFonts w:cs="Tahoma"/>
          <w:color w:val="000000"/>
        </w:rPr>
        <w:t>The h</w:t>
      </w:r>
      <w:r w:rsidRPr="00E53222">
        <w:rPr>
          <w:rFonts w:cs="Tahoma"/>
          <w:color w:val="000000"/>
        </w:rPr>
        <w:t>ead of centre and governing board</w:t>
      </w:r>
      <w:r>
        <w:rPr>
          <w:rFonts w:cs="Tahoma"/>
          <w:color w:val="000000"/>
        </w:rPr>
        <w:t xml:space="preserve"> at </w:t>
      </w:r>
      <w:r w:rsidR="00ED2EBA" w:rsidRPr="00B64AE7">
        <w:rPr>
          <w:rFonts w:eastAsia="Times New Roman" w:cs="Tahoma"/>
          <w:color w:val="FF3300"/>
        </w:rPr>
        <w:t>[</w:t>
      </w:r>
      <w:r w:rsidR="00CD04F8">
        <w:rPr>
          <w:rFonts w:eastAsia="Times New Roman" w:cs="Tahoma"/>
          <w:color w:val="FF3300"/>
        </w:rPr>
        <w:t>C</w:t>
      </w:r>
      <w:r w:rsidR="00ED2EBA" w:rsidRPr="00B64AE7">
        <w:rPr>
          <w:rFonts w:eastAsia="Times New Roman" w:cs="Tahoma"/>
          <w:color w:val="FF3300"/>
        </w:rPr>
        <w:t>entre name]</w:t>
      </w:r>
      <w:r w:rsidR="00ED2EBA">
        <w:rPr>
          <w:rFonts w:eastAsia="Times New Roman" w:cs="Tahoma"/>
          <w:color w:val="FF3300"/>
        </w:rPr>
        <w:t xml:space="preserve"> </w:t>
      </w:r>
      <w:r>
        <w:rPr>
          <w:rFonts w:cs="Tahoma"/>
          <w:color w:val="000000"/>
        </w:rPr>
        <w:t>aim to</w:t>
      </w:r>
      <w:r w:rsidRPr="00E53222">
        <w:rPr>
          <w:rFonts w:cs="Tahoma"/>
          <w:color w:val="000000"/>
        </w:rPr>
        <w:t xml:space="preserve"> create and maintain an approach to examinations </w:t>
      </w:r>
      <w:r w:rsidR="00640F75" w:rsidRPr="00640F75">
        <w:rPr>
          <w:rFonts w:cs="Tahoma"/>
          <w:color w:val="000000"/>
          <w:highlight w:val="yellow"/>
        </w:rPr>
        <w:t>and assessments</w:t>
      </w:r>
      <w:r w:rsidR="00640F75" w:rsidRPr="00E53222">
        <w:rPr>
          <w:rFonts w:cs="Tahoma"/>
          <w:color w:val="000000"/>
        </w:rPr>
        <w:t xml:space="preserve"> </w:t>
      </w:r>
      <w:r w:rsidRPr="00E53222">
        <w:rPr>
          <w:rFonts w:cs="Tahoma"/>
          <w:color w:val="000000"/>
        </w:rPr>
        <w:t xml:space="preserve">that reflects an ethical </w:t>
      </w:r>
      <w:proofErr w:type="gramStart"/>
      <w:r w:rsidRPr="00E53222">
        <w:rPr>
          <w:rFonts w:cs="Tahoma"/>
          <w:color w:val="000000"/>
        </w:rPr>
        <w:t>culture</w:t>
      </w:r>
      <w:r>
        <w:rPr>
          <w:rFonts w:cs="Tahoma"/>
          <w:color w:val="000000"/>
        </w:rPr>
        <w:t xml:space="preserve">, </w:t>
      </w:r>
      <w:r w:rsidRPr="00E53222">
        <w:rPr>
          <w:rFonts w:cs="Tahoma"/>
          <w:color w:val="000000"/>
        </w:rPr>
        <w:t>and</w:t>
      </w:r>
      <w:proofErr w:type="gramEnd"/>
      <w:r w:rsidRPr="00E53222">
        <w:rPr>
          <w:rFonts w:cs="Tahoma"/>
          <w:color w:val="000000"/>
        </w:rPr>
        <w:t xml:space="preserve"> encourages staff and students to be aware of and report practices that could compromise th</w:t>
      </w:r>
      <w:r>
        <w:rPr>
          <w:rFonts w:cs="Tahoma"/>
          <w:color w:val="000000"/>
        </w:rPr>
        <w:t>e integrity and security of examinations</w:t>
      </w:r>
      <w:r w:rsidR="00640F75">
        <w:rPr>
          <w:rFonts w:cs="Tahoma"/>
          <w:color w:val="000000"/>
        </w:rPr>
        <w:t xml:space="preserve"> </w:t>
      </w:r>
      <w:r w:rsidR="00640F75" w:rsidRPr="00640F75">
        <w:rPr>
          <w:rFonts w:cs="Tahoma"/>
          <w:color w:val="000000"/>
          <w:highlight w:val="yellow"/>
        </w:rPr>
        <w:t>and assessments</w:t>
      </w:r>
      <w:r>
        <w:rPr>
          <w:rFonts w:cs="Tahoma"/>
          <w:color w:val="000000"/>
        </w:rPr>
        <w:t>.</w:t>
      </w:r>
    </w:p>
    <w:p w14:paraId="7CFB81BA" w14:textId="24FFF344" w:rsidR="00840B86" w:rsidRPr="00B64AE7" w:rsidRDefault="00840B86" w:rsidP="00840B86">
      <w:pPr>
        <w:rPr>
          <w:rFonts w:eastAsia="Times New Roman" w:cs="Tahoma"/>
        </w:rPr>
      </w:pPr>
      <w:r w:rsidRPr="00B64AE7">
        <w:rPr>
          <w:rFonts w:eastAsia="Times New Roman" w:cs="Tahoma"/>
        </w:rPr>
        <w:t xml:space="preserve">In compliance with </w:t>
      </w:r>
      <w:r w:rsidRPr="00ED2EBA">
        <w:rPr>
          <w:rFonts w:eastAsia="Times New Roman" w:cs="Tahoma"/>
        </w:rPr>
        <w:t>section 5.11 of the</w:t>
      </w:r>
      <w:r w:rsidRPr="00B64AE7">
        <w:rPr>
          <w:rFonts w:eastAsia="Times New Roman" w:cs="Tahoma"/>
        </w:rPr>
        <w:t xml:space="preserve"> JCQ’s </w:t>
      </w:r>
      <w:r w:rsidRPr="00B64AE7">
        <w:rPr>
          <w:rFonts w:eastAsia="Times New Roman" w:cs="Tahoma"/>
          <w:b/>
          <w:bCs/>
        </w:rPr>
        <w:t>General Regulations for Approved Centres</w:t>
      </w:r>
      <w:r w:rsidRPr="00B64AE7">
        <w:rPr>
          <w:rStyle w:val="FootnoteReference"/>
          <w:rFonts w:eastAsia="Times New Roman" w:cs="Tahoma"/>
        </w:rPr>
        <w:footnoteReference w:id="1"/>
      </w:r>
      <w:r w:rsidRPr="00B64AE7">
        <w:rPr>
          <w:rFonts w:eastAsia="Times New Roman" w:cs="Tahoma"/>
        </w:rPr>
        <w:t xml:space="preserve">, </w:t>
      </w:r>
      <w:r w:rsidRPr="00B64AE7">
        <w:rPr>
          <w:rFonts w:eastAsia="Times New Roman" w:cs="Tahoma"/>
          <w:color w:val="FF3300"/>
        </w:rPr>
        <w:t>[</w:t>
      </w:r>
      <w:r w:rsidR="00ED2EBA">
        <w:rPr>
          <w:rFonts w:eastAsia="Times New Roman" w:cs="Tahoma"/>
          <w:color w:val="FF3300"/>
        </w:rPr>
        <w:t>C</w:t>
      </w:r>
      <w:r w:rsidR="00B64AE7" w:rsidRPr="00B64AE7">
        <w:rPr>
          <w:rFonts w:eastAsia="Times New Roman" w:cs="Tahoma"/>
          <w:color w:val="FF3300"/>
        </w:rPr>
        <w:t>entre name</w:t>
      </w:r>
      <w:r w:rsidRPr="00B64AE7">
        <w:rPr>
          <w:rFonts w:eastAsia="Times New Roman" w:cs="Tahoma"/>
          <w:color w:val="FF3300"/>
        </w:rPr>
        <w:t>]</w:t>
      </w:r>
      <w:r w:rsidRPr="00B64AE7">
        <w:rPr>
          <w:rFonts w:eastAsia="Times New Roman" w:cs="Tahoma"/>
        </w:rPr>
        <w:t xml:space="preserve"> </w:t>
      </w:r>
      <w:r w:rsidR="00C43B3F">
        <w:rPr>
          <w:rFonts w:eastAsia="Times New Roman" w:cs="Tahoma"/>
        </w:rPr>
        <w:t>will</w:t>
      </w:r>
      <w:r w:rsidRPr="00B64AE7">
        <w:rPr>
          <w:rFonts w:eastAsia="Times New Roman" w:cs="Tahoma"/>
        </w:rPr>
        <w:t>:</w:t>
      </w:r>
    </w:p>
    <w:p w14:paraId="57ACA71F" w14:textId="77777777" w:rsidR="00840B86" w:rsidRPr="00ED2EBA" w:rsidRDefault="00840B86" w:rsidP="00CD04F8">
      <w:pPr>
        <w:pStyle w:val="ListParagraph"/>
        <w:numPr>
          <w:ilvl w:val="0"/>
          <w:numId w:val="28"/>
        </w:numPr>
        <w:spacing w:after="0"/>
        <w:ind w:left="714" w:hanging="357"/>
        <w:contextualSpacing w:val="0"/>
        <w:rPr>
          <w:rFonts w:eastAsia="Times New Roman" w:cs="Tahoma"/>
        </w:rPr>
      </w:pPr>
      <w:r w:rsidRPr="00ED2EBA">
        <w:rPr>
          <w:rFonts w:cs="Tahoma"/>
          <w:iCs/>
        </w:rPr>
        <w:t>take all reasonable steps to prevent the occurrence of any malpractice (which includes maladministration) before, during and after assessments have taken place</w:t>
      </w:r>
    </w:p>
    <w:p w14:paraId="1594260F" w14:textId="77777777" w:rsidR="00840B86" w:rsidRPr="00ED2EBA" w:rsidRDefault="00840B86" w:rsidP="00CD04F8">
      <w:pPr>
        <w:pStyle w:val="ListParagraph"/>
        <w:numPr>
          <w:ilvl w:val="0"/>
          <w:numId w:val="28"/>
        </w:numPr>
        <w:ind w:left="714" w:hanging="357"/>
        <w:rPr>
          <w:rFonts w:eastAsia="Times New Roman" w:cs="Tahoma"/>
        </w:rPr>
      </w:pPr>
      <w:r w:rsidRPr="00ED2EBA">
        <w:rPr>
          <w:rFonts w:cs="Tahoma"/>
        </w:rPr>
        <w:t xml:space="preserve">inform the awarding body </w:t>
      </w:r>
      <w:r w:rsidRPr="00ED2EBA">
        <w:rPr>
          <w:rFonts w:cs="Tahoma"/>
          <w:b/>
        </w:rPr>
        <w:t xml:space="preserve">immediately </w:t>
      </w:r>
      <w:r w:rsidRPr="00ED2EBA">
        <w:rPr>
          <w:rFonts w:cs="Tahoma"/>
        </w:rPr>
        <w:t>of any alleged, suspected or actual incidents of malpractice or maladministration, involving a candidate or a member of staff, by completing the appropriate documentation</w:t>
      </w:r>
    </w:p>
    <w:p w14:paraId="6F84C019" w14:textId="6969DC2C" w:rsidR="00840B86" w:rsidRPr="00ED2EBA" w:rsidRDefault="00840B86" w:rsidP="00840B86">
      <w:pPr>
        <w:pStyle w:val="ListParagraph"/>
        <w:numPr>
          <w:ilvl w:val="0"/>
          <w:numId w:val="28"/>
        </w:numPr>
        <w:contextualSpacing w:val="0"/>
        <w:rPr>
          <w:rFonts w:eastAsia="Times New Roman" w:cs="Tahoma"/>
        </w:rPr>
      </w:pPr>
      <w:r w:rsidRPr="00ED2EBA">
        <w:rPr>
          <w:rFonts w:cs="Tahoma"/>
        </w:rPr>
        <w:t xml:space="preserve">as required by an awarding body, gather evidence of any instances of alleged or suspected malpractice (which includes maladministration) in accordance with the JCQ </w:t>
      </w:r>
      <w:r w:rsidR="007345F9" w:rsidRPr="007345F9">
        <w:rPr>
          <w:rFonts w:cs="Tahoma"/>
          <w:highlight w:val="yellow"/>
        </w:rPr>
        <w:t>document</w:t>
      </w:r>
      <w:r w:rsidRPr="00ED2EBA">
        <w:rPr>
          <w:rFonts w:cs="Tahoma"/>
        </w:rPr>
        <w:t xml:space="preserve"> </w:t>
      </w:r>
      <w:r w:rsidRPr="00ED2EBA">
        <w:rPr>
          <w:rFonts w:cs="Tahoma"/>
          <w:b/>
          <w:bCs/>
          <w:iCs/>
        </w:rPr>
        <w:t>Suspected Malpractice: Policies and Procedures</w:t>
      </w:r>
      <w:r w:rsidRPr="00ED2EBA">
        <w:rPr>
          <w:rStyle w:val="FootnoteReference"/>
          <w:rFonts w:cs="Tahoma"/>
          <w:iCs/>
        </w:rPr>
        <w:footnoteReference w:id="2"/>
      </w:r>
      <w:r w:rsidRPr="00ED2EBA">
        <w:rPr>
          <w:rFonts w:cs="Tahoma"/>
          <w:iCs/>
        </w:rPr>
        <w:t xml:space="preserve"> </w:t>
      </w:r>
      <w:r w:rsidRPr="00ED2EBA">
        <w:rPr>
          <w:rFonts w:cs="Tahoma"/>
        </w:rPr>
        <w:t>and provide such information and advice as the awarding body may reasonably require</w:t>
      </w:r>
    </w:p>
    <w:p w14:paraId="5877AD56" w14:textId="1D307953" w:rsidR="00E24004" w:rsidRPr="00781287" w:rsidRDefault="00E24004" w:rsidP="00E24004">
      <w:pPr>
        <w:rPr>
          <w:rFonts w:eastAsia="Times New Roman" w:cs="Tahoma"/>
        </w:rPr>
      </w:pPr>
      <w:r w:rsidRPr="00781287">
        <w:rPr>
          <w:rFonts w:eastAsia="Times New Roman" w:cs="Tahoma"/>
        </w:rPr>
        <w:t xml:space="preserve">This policy </w:t>
      </w:r>
      <w:r w:rsidR="00147130" w:rsidRPr="007345F9">
        <w:rPr>
          <w:rFonts w:eastAsia="Times New Roman" w:cs="Tahoma"/>
        </w:rPr>
        <w:t xml:space="preserve">requirement </w:t>
      </w:r>
      <w:r w:rsidR="008C66AE" w:rsidRPr="007345F9">
        <w:rPr>
          <w:rFonts w:eastAsia="Times New Roman" w:cs="Tahoma"/>
        </w:rPr>
        <w:t>was</w:t>
      </w:r>
      <w:r w:rsidRPr="007345F9">
        <w:rPr>
          <w:rFonts w:eastAsia="Times New Roman" w:cs="Tahoma"/>
        </w:rPr>
        <w:t xml:space="preserve"> added</w:t>
      </w:r>
      <w:r w:rsidR="00147130">
        <w:rPr>
          <w:rFonts w:eastAsia="Times New Roman" w:cs="Tahoma"/>
        </w:rPr>
        <w:t xml:space="preserve"> </w:t>
      </w:r>
      <w:r w:rsidRPr="00781287">
        <w:rPr>
          <w:rFonts w:eastAsia="Times New Roman" w:cs="Tahoma"/>
        </w:rPr>
        <w:t xml:space="preserve">within </w:t>
      </w:r>
      <w:r w:rsidRPr="00781287">
        <w:rPr>
          <w:rFonts w:eastAsia="Times New Roman" w:cs="Tahoma"/>
          <w:b/>
          <w:bCs/>
        </w:rPr>
        <w:t>General Regulations for Approved Centres</w:t>
      </w:r>
      <w:r w:rsidRPr="00781287">
        <w:rPr>
          <w:rFonts w:eastAsia="Times New Roman" w:cs="Tahoma"/>
        </w:rPr>
        <w:t xml:space="preserve"> in response to the recommendations within the report of the </w:t>
      </w:r>
      <w:r w:rsidR="00781287" w:rsidRPr="00BD680A">
        <w:rPr>
          <w:rFonts w:eastAsia="Times New Roman" w:cs="Tahoma"/>
          <w:i/>
          <w:iCs/>
        </w:rPr>
        <w:t>Independent Commission on Examination Malpractice</w:t>
      </w:r>
      <w:r w:rsidR="00781287" w:rsidRPr="00781287">
        <w:rPr>
          <w:rStyle w:val="FootnoteReference"/>
          <w:rFonts w:eastAsia="Times New Roman" w:cs="Tahoma"/>
        </w:rPr>
        <w:footnoteReference w:id="3"/>
      </w:r>
      <w:r w:rsidRPr="00781287">
        <w:rPr>
          <w:rFonts w:eastAsia="Times New Roman" w:cs="Tahoma"/>
        </w:rPr>
        <w:t>.</w:t>
      </w:r>
      <w:r w:rsidR="00781287" w:rsidRPr="00781287">
        <w:rPr>
          <w:rFonts w:eastAsia="Times New Roman" w:cs="Tahoma"/>
        </w:rPr>
        <w:t xml:space="preserve"> </w:t>
      </w:r>
    </w:p>
    <w:p w14:paraId="0C524C85" w14:textId="322F3BBF" w:rsidR="00C77171" w:rsidRPr="007D6DF8" w:rsidRDefault="003B0B55" w:rsidP="00E24004">
      <w:pPr>
        <w:rPr>
          <w:rFonts w:eastAsia="Times New Roman" w:cs="Tahoma"/>
        </w:rPr>
      </w:pPr>
      <w:r w:rsidRPr="007D6DF8">
        <w:rPr>
          <w:rFonts w:eastAsia="Times New Roman" w:cs="Tahoma"/>
        </w:rPr>
        <w:t xml:space="preserve">This policy </w:t>
      </w:r>
      <w:r w:rsidR="0033527D" w:rsidRPr="007D6DF8">
        <w:rPr>
          <w:rFonts w:eastAsia="Times New Roman" w:cs="Tahoma"/>
        </w:rPr>
        <w:t>sets out the whistleblowing procedures at</w:t>
      </w:r>
      <w:r w:rsidRPr="007D6DF8">
        <w:rPr>
          <w:rFonts w:eastAsia="Times New Roman" w:cs="Tahoma"/>
        </w:rPr>
        <w:t xml:space="preserve"> </w:t>
      </w:r>
      <w:r w:rsidR="007D6DF8" w:rsidRPr="007D6DF8">
        <w:rPr>
          <w:rFonts w:eastAsia="Times New Roman" w:cs="Tahoma"/>
          <w:color w:val="FF3300"/>
        </w:rPr>
        <w:t>[</w:t>
      </w:r>
      <w:r w:rsidR="00CD04F8">
        <w:rPr>
          <w:rFonts w:eastAsia="Times New Roman" w:cs="Tahoma"/>
          <w:color w:val="FF3300"/>
        </w:rPr>
        <w:t>C</w:t>
      </w:r>
      <w:r w:rsidR="007D6DF8" w:rsidRPr="007D6DF8">
        <w:rPr>
          <w:rFonts w:eastAsia="Times New Roman" w:cs="Tahoma"/>
          <w:color w:val="FF3300"/>
        </w:rPr>
        <w:t>entre name]</w:t>
      </w:r>
      <w:r w:rsidR="0033527D" w:rsidRPr="007D6DF8">
        <w:rPr>
          <w:rFonts w:eastAsia="Times New Roman" w:cs="Tahoma"/>
        </w:rPr>
        <w:t xml:space="preserve">. It </w:t>
      </w:r>
      <w:r w:rsidR="00C77171" w:rsidRPr="007D6DF8">
        <w:rPr>
          <w:rFonts w:eastAsia="Times New Roman" w:cs="Tahoma"/>
        </w:rPr>
        <w:t>has been produced</w:t>
      </w:r>
      <w:r w:rsidR="008C66AE">
        <w:rPr>
          <w:rFonts w:eastAsia="Times New Roman" w:cs="Tahoma"/>
        </w:rPr>
        <w:t xml:space="preserve"> </w:t>
      </w:r>
      <w:r w:rsidR="008C66AE" w:rsidRPr="007345F9">
        <w:rPr>
          <w:rFonts w:eastAsia="Times New Roman" w:cs="Tahoma"/>
        </w:rPr>
        <w:t>(and reviewed)</w:t>
      </w:r>
      <w:r w:rsidR="00C77171" w:rsidRPr="007345F9">
        <w:rPr>
          <w:rFonts w:eastAsia="Times New Roman" w:cs="Tahoma"/>
        </w:rPr>
        <w:t xml:space="preserve"> b</w:t>
      </w:r>
      <w:r w:rsidR="00C77171" w:rsidRPr="007D6DF8">
        <w:rPr>
          <w:rFonts w:eastAsia="Times New Roman" w:cs="Tahoma"/>
        </w:rPr>
        <w:t xml:space="preserve">y </w:t>
      </w:r>
      <w:r w:rsidR="00C77171" w:rsidRPr="007D6DF8">
        <w:rPr>
          <w:rFonts w:eastAsia="Times New Roman" w:cs="Tahoma"/>
          <w:color w:val="FF3300"/>
        </w:rPr>
        <w:t>[</w:t>
      </w:r>
      <w:r w:rsidR="00CD04F8">
        <w:rPr>
          <w:rFonts w:eastAsia="Times New Roman" w:cs="Tahoma"/>
          <w:color w:val="FF3300"/>
        </w:rPr>
        <w:t xml:space="preserve">insert </w:t>
      </w:r>
      <w:r w:rsidR="00C77171" w:rsidRPr="007D6DF8">
        <w:rPr>
          <w:rFonts w:eastAsia="Times New Roman" w:cs="Tahoma"/>
          <w:color w:val="FF3300"/>
        </w:rPr>
        <w:t>name of staff member]</w:t>
      </w:r>
      <w:r w:rsidR="00C77171" w:rsidRPr="007D6DF8">
        <w:rPr>
          <w:rFonts w:eastAsia="Times New Roman" w:cs="Tahoma"/>
        </w:rPr>
        <w:t xml:space="preserve"> </w:t>
      </w:r>
      <w:r w:rsidR="0033527D" w:rsidRPr="007D6DF8">
        <w:rPr>
          <w:rFonts w:eastAsia="Times New Roman" w:cs="Tahoma"/>
        </w:rPr>
        <w:t xml:space="preserve">who </w:t>
      </w:r>
      <w:r w:rsidR="00C77171" w:rsidRPr="007D6DF8">
        <w:rPr>
          <w:rFonts w:eastAsia="Times New Roman" w:cs="Tahoma"/>
        </w:rPr>
        <w:t>is also a member of the senior leadership team</w:t>
      </w:r>
      <w:r w:rsidR="00545C91" w:rsidRPr="007D6DF8">
        <w:rPr>
          <w:rFonts w:eastAsia="Times New Roman" w:cs="Tahoma"/>
        </w:rPr>
        <w:t xml:space="preserve"> and responsible for handling any cases of whistleblowing</w:t>
      </w:r>
      <w:r w:rsidR="005E6B8D" w:rsidRPr="007D6DF8">
        <w:rPr>
          <w:rFonts w:eastAsia="Times New Roman" w:cs="Tahoma"/>
        </w:rPr>
        <w:t xml:space="preserve">. </w:t>
      </w:r>
      <w:r w:rsidR="005E6B8D" w:rsidRPr="007D6DF8">
        <w:rPr>
          <w:rFonts w:eastAsia="Times New Roman" w:cs="Tahoma"/>
          <w:color w:val="FF3300"/>
        </w:rPr>
        <w:t>[</w:t>
      </w:r>
      <w:r w:rsidR="00CD04F8">
        <w:rPr>
          <w:rFonts w:eastAsia="Times New Roman" w:cs="Tahoma"/>
          <w:color w:val="FF3300"/>
        </w:rPr>
        <w:t xml:space="preserve">insert as applicable, </w:t>
      </w:r>
      <w:proofErr w:type="gramStart"/>
      <w:r w:rsidR="007345F9" w:rsidRPr="007345F9">
        <w:rPr>
          <w:rFonts w:eastAsia="Times New Roman" w:cs="Tahoma"/>
          <w:color w:val="FF3300"/>
          <w:highlight w:val="yellow"/>
        </w:rPr>
        <w:t>This</w:t>
      </w:r>
      <w:proofErr w:type="gramEnd"/>
      <w:r w:rsidR="007345F9" w:rsidRPr="007345F9">
        <w:rPr>
          <w:rFonts w:eastAsia="Times New Roman" w:cs="Tahoma"/>
          <w:color w:val="FF3300"/>
          <w:highlight w:val="yellow"/>
        </w:rPr>
        <w:t xml:space="preserve"> individual</w:t>
      </w:r>
      <w:r w:rsidR="005E6B8D" w:rsidRPr="007D6DF8">
        <w:rPr>
          <w:rFonts w:eastAsia="Times New Roman" w:cs="Tahoma"/>
          <w:color w:val="FF3300"/>
        </w:rPr>
        <w:t xml:space="preserve">] </w:t>
      </w:r>
      <w:r w:rsidR="005E6B8D" w:rsidRPr="007D6DF8">
        <w:rPr>
          <w:rFonts w:eastAsia="Times New Roman" w:cs="Tahoma"/>
        </w:rPr>
        <w:t xml:space="preserve">is fully aware of the contents of this policy and will escalate any instances of malpractice </w:t>
      </w:r>
      <w:r w:rsidR="006A6530" w:rsidRPr="006A6530">
        <w:rPr>
          <w:rFonts w:eastAsia="Times New Roman" w:cs="Tahoma"/>
          <w:highlight w:val="yellow"/>
        </w:rPr>
        <w:t>through the head of centre</w:t>
      </w:r>
      <w:r w:rsidR="006A6530">
        <w:rPr>
          <w:rFonts w:eastAsia="Times New Roman" w:cs="Tahoma"/>
        </w:rPr>
        <w:t xml:space="preserve"> </w:t>
      </w:r>
      <w:r w:rsidR="005E6B8D" w:rsidRPr="007D6DF8">
        <w:rPr>
          <w:rFonts w:eastAsia="Times New Roman" w:cs="Tahoma"/>
        </w:rPr>
        <w:t>to the relevant awarding body/bodies.</w:t>
      </w:r>
    </w:p>
    <w:p w14:paraId="3A8A64F3" w14:textId="21C68F05" w:rsidR="00C77171" w:rsidRPr="007D6DF8" w:rsidRDefault="00C77171" w:rsidP="00E24004">
      <w:pPr>
        <w:rPr>
          <w:rFonts w:eastAsia="Times New Roman" w:cs="Tahoma"/>
        </w:rPr>
      </w:pPr>
      <w:r w:rsidRPr="007D6DF8">
        <w:rPr>
          <w:rFonts w:eastAsia="Times New Roman" w:cs="Tahoma"/>
        </w:rPr>
        <w:t xml:space="preserve">This policy </w:t>
      </w:r>
      <w:r w:rsidR="00CD04F8" w:rsidRPr="00CD04F8">
        <w:rPr>
          <w:rFonts w:eastAsia="Times New Roman" w:cs="Tahoma"/>
        </w:rPr>
        <w:t xml:space="preserve">also </w:t>
      </w:r>
      <w:r w:rsidR="003B0B55" w:rsidRPr="00CD04F8">
        <w:rPr>
          <w:rFonts w:eastAsia="Times New Roman" w:cs="Tahoma"/>
        </w:rPr>
        <w:t>sets out the principles which</w:t>
      </w:r>
      <w:r w:rsidR="003B0B55" w:rsidRPr="007D6DF8">
        <w:rPr>
          <w:rFonts w:eastAsia="Times New Roman" w:cs="Tahoma"/>
        </w:rPr>
        <w:t xml:space="preserve"> allow members of centre staff and students to feel confident in reporting instances of actual, alleged or suspected malpractice to </w:t>
      </w:r>
      <w:r w:rsidR="003B0B55" w:rsidRPr="000303B0">
        <w:rPr>
          <w:rFonts w:eastAsia="Times New Roman" w:cs="Tahoma"/>
        </w:rPr>
        <w:t>relevant members of senior leadership</w:t>
      </w:r>
      <w:r w:rsidRPr="000303B0">
        <w:rPr>
          <w:rFonts w:eastAsia="Times New Roman" w:cs="Tahoma"/>
        </w:rPr>
        <w:t>.</w:t>
      </w:r>
      <w:r w:rsidRPr="007D6DF8">
        <w:rPr>
          <w:rFonts w:eastAsia="Times New Roman" w:cs="Tahoma"/>
        </w:rPr>
        <w:t xml:space="preserve"> </w:t>
      </w:r>
    </w:p>
    <w:p w14:paraId="031761E2" w14:textId="6A28B149" w:rsidR="009E3667" w:rsidRPr="004260D5" w:rsidRDefault="00B64AE7" w:rsidP="00467F9B">
      <w:pPr>
        <w:spacing w:before="240" w:after="240"/>
        <w:jc w:val="both"/>
        <w:rPr>
          <w:rFonts w:cs="Arial"/>
          <w:b/>
          <w:color w:val="003399"/>
          <w:sz w:val="24"/>
          <w:szCs w:val="24"/>
        </w:rPr>
      </w:pPr>
      <w:r w:rsidRPr="00B64AE7">
        <w:rPr>
          <w:rFonts w:cs="Arial"/>
          <w:b/>
          <w:color w:val="003399"/>
          <w:sz w:val="24"/>
          <w:szCs w:val="24"/>
        </w:rPr>
        <w:t>Purpose of the policy</w:t>
      </w:r>
    </w:p>
    <w:p w14:paraId="77716BBB" w14:textId="77777777" w:rsidR="000B6E85" w:rsidRDefault="000B6E85" w:rsidP="00CD04F8">
      <w:pPr>
        <w:spacing w:after="0"/>
        <w:rPr>
          <w:rFonts w:eastAsia="Times New Roman" w:cs="Tahoma"/>
        </w:rPr>
      </w:pPr>
      <w:r>
        <w:rPr>
          <w:rFonts w:eastAsia="Times New Roman" w:cs="Tahoma"/>
        </w:rPr>
        <w:t>This policy:</w:t>
      </w:r>
    </w:p>
    <w:p w14:paraId="553EE715" w14:textId="77777777" w:rsidR="000B6E85" w:rsidRPr="001C2CAB" w:rsidRDefault="000B6E85" w:rsidP="00CD04F8">
      <w:pPr>
        <w:pStyle w:val="ListParagraph"/>
        <w:numPr>
          <w:ilvl w:val="0"/>
          <w:numId w:val="33"/>
        </w:numPr>
        <w:spacing w:before="0"/>
        <w:ind w:left="714" w:hanging="357"/>
        <w:rPr>
          <w:rFonts w:eastAsia="Times New Roman" w:cs="Tahoma"/>
        </w:rPr>
      </w:pPr>
      <w:r w:rsidRPr="001C2CAB">
        <w:rPr>
          <w:rFonts w:cs="Tahoma"/>
          <w:color w:val="000000"/>
        </w:rPr>
        <w:t>encourages individuals to raise concerns, which will be fully investigated by appropriately trained and experienced individuals</w:t>
      </w:r>
    </w:p>
    <w:p w14:paraId="6933FE19"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identi</w:t>
      </w:r>
      <w:r w:rsidRPr="001C2CAB">
        <w:rPr>
          <w:rFonts w:cs="Tahoma"/>
          <w:color w:val="000000"/>
        </w:rPr>
        <w:softHyphen/>
        <w:t>fies how to report concerns</w:t>
      </w:r>
    </w:p>
    <w:p w14:paraId="0AA7ED63"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explain</w:t>
      </w:r>
      <w:r>
        <w:rPr>
          <w:rFonts w:cs="Tahoma"/>
          <w:color w:val="000000"/>
        </w:rPr>
        <w:t>s</w:t>
      </w:r>
      <w:r w:rsidRPr="001C2CAB">
        <w:rPr>
          <w:rFonts w:cs="Tahoma"/>
          <w:color w:val="000000"/>
        </w:rPr>
        <w:t xml:space="preserve"> how such concerns will be investigated and sets expectations regarding the reporting of outcomes</w:t>
      </w:r>
    </w:p>
    <w:p w14:paraId="674A9C72"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provide</w:t>
      </w:r>
      <w:r>
        <w:rPr>
          <w:rFonts w:cs="Tahoma"/>
          <w:color w:val="000000"/>
        </w:rPr>
        <w:t>s</w:t>
      </w:r>
      <w:r w:rsidRPr="001C2CAB">
        <w:rPr>
          <w:rFonts w:cs="Tahoma"/>
          <w:color w:val="000000"/>
        </w:rPr>
        <w:t xml:space="preserve"> details of relevant bodies to whom concerns about wrongdoing can be reported, including awarding organisations and regulators</w:t>
      </w:r>
    </w:p>
    <w:p w14:paraId="3460A512"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include</w:t>
      </w:r>
      <w:r>
        <w:rPr>
          <w:rFonts w:cs="Tahoma"/>
          <w:color w:val="000000"/>
        </w:rPr>
        <w:t>s</w:t>
      </w:r>
      <w:r w:rsidRPr="001C2CAB">
        <w:rPr>
          <w:rFonts w:cs="Tahoma"/>
          <w:color w:val="000000"/>
        </w:rPr>
        <w:t xml:space="preserve"> a commitment to do everything reasonable to protect the reporter’s identity, if requested</w:t>
      </w:r>
    </w:p>
    <w:p w14:paraId="42955F2F" w14:textId="1A91F5CE" w:rsidR="000B6E85" w:rsidRPr="00467F9B" w:rsidRDefault="000B6E85" w:rsidP="00B64AE7">
      <w:pPr>
        <w:pStyle w:val="ListParagraph"/>
        <w:numPr>
          <w:ilvl w:val="0"/>
          <w:numId w:val="33"/>
        </w:numPr>
        <w:rPr>
          <w:rFonts w:eastAsia="Times New Roman" w:cs="Tahoma"/>
        </w:rPr>
      </w:pPr>
      <w:r w:rsidRPr="001C2CAB">
        <w:rPr>
          <w:rFonts w:cs="Tahoma"/>
          <w:color w:val="000000"/>
        </w:rPr>
        <w:t>set</w:t>
      </w:r>
      <w:r>
        <w:rPr>
          <w:rFonts w:cs="Tahoma"/>
          <w:color w:val="000000"/>
        </w:rPr>
        <w:t>s</w:t>
      </w:r>
      <w:r w:rsidRPr="001C2CAB">
        <w:rPr>
          <w:rFonts w:cs="Tahoma"/>
          <w:color w:val="000000"/>
        </w:rPr>
        <w:t xml:space="preserve"> out how those raising concerns will be supported</w:t>
      </w:r>
    </w:p>
    <w:p w14:paraId="6338B63E" w14:textId="015CE019" w:rsidR="00C22F7B" w:rsidRPr="00467F9B" w:rsidRDefault="0098197C" w:rsidP="00467F9B">
      <w:pPr>
        <w:rPr>
          <w:rFonts w:eastAsia="Times New Roman" w:cs="Tahoma"/>
        </w:rPr>
      </w:pPr>
      <w:r w:rsidRPr="000303B0">
        <w:t xml:space="preserve">This </w:t>
      </w:r>
      <w:r w:rsidR="00C45527" w:rsidRPr="000303B0">
        <w:rPr>
          <w:rFonts w:eastAsia="Times New Roman" w:cs="Tahoma"/>
        </w:rPr>
        <w:t xml:space="preserve">policy </w:t>
      </w:r>
      <w:r w:rsidR="000B6E85" w:rsidRPr="000303B0">
        <w:rPr>
          <w:rFonts w:eastAsia="Times New Roman" w:cs="Tahoma"/>
        </w:rPr>
        <w:t xml:space="preserve">also </w:t>
      </w:r>
      <w:r w:rsidR="00C45527" w:rsidRPr="000303B0">
        <w:rPr>
          <w:rFonts w:eastAsia="Times New Roman" w:cs="Tahoma"/>
        </w:rPr>
        <w:t xml:space="preserve">details the steps </w:t>
      </w:r>
      <w:r w:rsidRPr="000303B0">
        <w:rPr>
          <w:rFonts w:eastAsia="Times New Roman" w:cs="Tahoma"/>
        </w:rPr>
        <w:t>that could be</w:t>
      </w:r>
      <w:r w:rsidR="00C45527" w:rsidRPr="000303B0">
        <w:rPr>
          <w:rFonts w:eastAsia="Times New Roman" w:cs="Tahoma"/>
        </w:rPr>
        <w:t xml:space="preserve"> taken</w:t>
      </w:r>
      <w:r w:rsidRPr="000303B0">
        <w:rPr>
          <w:rFonts w:eastAsia="Times New Roman" w:cs="Tahoma"/>
        </w:rPr>
        <w:t xml:space="preserve"> by an individual</w:t>
      </w:r>
      <w:r w:rsidR="00020991">
        <w:rPr>
          <w:rFonts w:eastAsia="Times New Roman" w:cs="Tahoma"/>
        </w:rPr>
        <w:t xml:space="preserve"> </w:t>
      </w:r>
      <w:r w:rsidR="000303B0" w:rsidRPr="000303B0">
        <w:t>involved in the management, administration and/or conducting of examinations</w:t>
      </w:r>
      <w:r w:rsidR="006A6530">
        <w:t xml:space="preserve"> </w:t>
      </w:r>
      <w:r w:rsidR="006A6530" w:rsidRPr="00640F75">
        <w:rPr>
          <w:rFonts w:cs="Tahoma"/>
          <w:color w:val="000000"/>
          <w:highlight w:val="yellow"/>
        </w:rPr>
        <w:t>and assessments</w:t>
      </w:r>
      <w:r w:rsidR="004410F0">
        <w:t xml:space="preserve"> </w:t>
      </w:r>
      <w:r w:rsidR="008D77AA" w:rsidRPr="000303B0">
        <w:rPr>
          <w:rFonts w:eastAsia="Times New Roman" w:cs="Tahoma"/>
        </w:rPr>
        <w:t xml:space="preserve">if </w:t>
      </w:r>
      <w:r w:rsidRPr="000303B0">
        <w:rPr>
          <w:rFonts w:eastAsia="Times New Roman" w:cs="Tahoma"/>
          <w:color w:val="FF3300"/>
        </w:rPr>
        <w:t>[</w:t>
      </w:r>
      <w:r w:rsidR="000303B0" w:rsidRPr="000303B0">
        <w:rPr>
          <w:rFonts w:eastAsia="Times New Roman" w:cs="Tahoma"/>
          <w:color w:val="FF3300"/>
        </w:rPr>
        <w:t>C</w:t>
      </w:r>
      <w:r w:rsidRPr="000303B0">
        <w:rPr>
          <w:rFonts w:eastAsia="Times New Roman" w:cs="Tahoma"/>
          <w:color w:val="FF3300"/>
        </w:rPr>
        <w:t xml:space="preserve">entre name] </w:t>
      </w:r>
      <w:r w:rsidRPr="000303B0">
        <w:rPr>
          <w:rFonts w:eastAsia="Times New Roman" w:cs="Tahoma"/>
        </w:rPr>
        <w:t xml:space="preserve">fails </w:t>
      </w:r>
      <w:r w:rsidR="00C43B3F" w:rsidRPr="000303B0">
        <w:rPr>
          <w:rFonts w:eastAsia="Times New Roman" w:cs="Tahoma"/>
        </w:rPr>
        <w:t>to comply with its</w:t>
      </w:r>
      <w:r w:rsidRPr="000303B0">
        <w:rPr>
          <w:rFonts w:eastAsia="Times New Roman" w:cs="Tahoma"/>
        </w:rPr>
        <w:t xml:space="preserve"> </w:t>
      </w:r>
      <w:r w:rsidR="00DB1EEA" w:rsidRPr="000303B0">
        <w:rPr>
          <w:rFonts w:eastAsia="Times New Roman" w:cs="Tahoma"/>
        </w:rPr>
        <w:t>obligation</w:t>
      </w:r>
      <w:r w:rsidRPr="000303B0">
        <w:rPr>
          <w:rFonts w:eastAsia="Times New Roman" w:cs="Tahoma"/>
        </w:rPr>
        <w:t xml:space="preserve"> to report </w:t>
      </w:r>
      <w:r w:rsidR="008D77AA" w:rsidRPr="000303B0">
        <w:rPr>
          <w:rFonts w:eastAsia="Times New Roman" w:cs="Tahoma"/>
        </w:rPr>
        <w:t>any alleged</w:t>
      </w:r>
      <w:r w:rsidR="00C43B3F" w:rsidRPr="000303B0">
        <w:rPr>
          <w:rFonts w:eastAsia="Times New Roman" w:cs="Tahoma"/>
        </w:rPr>
        <w:t xml:space="preserve">, </w:t>
      </w:r>
      <w:r w:rsidR="008D77AA" w:rsidRPr="000303B0">
        <w:rPr>
          <w:rFonts w:eastAsia="Times New Roman" w:cs="Tahoma"/>
        </w:rPr>
        <w:t xml:space="preserve">suspected </w:t>
      </w:r>
      <w:r w:rsidR="00C43B3F" w:rsidRPr="000303B0">
        <w:rPr>
          <w:rFonts w:eastAsia="Times New Roman" w:cs="Tahoma"/>
        </w:rPr>
        <w:t xml:space="preserve">or actual incidents of </w:t>
      </w:r>
      <w:r w:rsidR="008D77AA" w:rsidRPr="000303B0">
        <w:rPr>
          <w:rFonts w:eastAsia="Times New Roman" w:cs="Tahoma"/>
        </w:rPr>
        <w:t>malpractice</w:t>
      </w:r>
      <w:r w:rsidR="00C43B3F" w:rsidRPr="000303B0">
        <w:rPr>
          <w:rFonts w:eastAsia="Times New Roman" w:cs="Tahoma"/>
        </w:rPr>
        <w:t xml:space="preserve"> or maladministration</w:t>
      </w:r>
      <w:r w:rsidR="008D77AA" w:rsidRPr="000303B0">
        <w:rPr>
          <w:rFonts w:eastAsia="Times New Roman" w:cs="Tahoma"/>
        </w:rPr>
        <w:t>.</w:t>
      </w:r>
    </w:p>
    <w:p w14:paraId="24F2A3C4" w14:textId="77777777" w:rsidR="00C22F7B" w:rsidRPr="00467F9B" w:rsidRDefault="00C22F7B" w:rsidP="00467F9B">
      <w:pPr>
        <w:pStyle w:val="Headinglevel1"/>
        <w:spacing w:before="240"/>
      </w:pPr>
      <w:r w:rsidRPr="00467F9B">
        <w:t>The Whistleblower</w:t>
      </w:r>
    </w:p>
    <w:p w14:paraId="0B815825" w14:textId="440C1F97" w:rsidR="00C22F7B" w:rsidRPr="00467F9B" w:rsidRDefault="00C22F7B" w:rsidP="00467F9B">
      <w:pPr>
        <w:spacing w:before="0"/>
        <w:rPr>
          <w:rFonts w:cs="Tahoma"/>
          <w:color w:val="000000"/>
        </w:rPr>
      </w:pPr>
      <w:r w:rsidRPr="00467F9B">
        <w:rPr>
          <w:rFonts w:cs="Tahoma"/>
          <w:color w:val="000000"/>
        </w:rPr>
        <w:lastRenderedPageBreak/>
        <w:t xml:space="preserve">A whistleblower is defined as a person who reports an actual or potential wrongdoing and is protected by the Public </w:t>
      </w:r>
      <w:r w:rsidR="00B44AF2">
        <w:rPr>
          <w:rFonts w:cs="Tahoma"/>
          <w:color w:val="000000"/>
        </w:rPr>
        <w:t>Interest</w:t>
      </w:r>
      <w:r w:rsidRPr="00467F9B">
        <w:rPr>
          <w:rFonts w:cs="Tahoma"/>
          <w:color w:val="000000"/>
        </w:rPr>
        <w:t xml:space="preserve"> Disclosure Act 1998, providing they are acting in the public interest.</w:t>
      </w:r>
    </w:p>
    <w:p w14:paraId="502134C7" w14:textId="7477ACF3" w:rsidR="00C22F7B" w:rsidRDefault="00C22F7B" w:rsidP="00467F9B">
      <w:pPr>
        <w:spacing w:before="0"/>
        <w:rPr>
          <w:rFonts w:cs="Arial"/>
          <w:b/>
          <w:color w:val="003399"/>
          <w:sz w:val="24"/>
          <w:szCs w:val="24"/>
        </w:rPr>
      </w:pPr>
      <w:r w:rsidRPr="00467F9B">
        <w:rPr>
          <w:rFonts w:cs="Tahoma"/>
          <w:color w:val="000000"/>
        </w:rPr>
        <w:t>If the person raising the issue is a worker, this will be considered as whistleblowing. This includes agency staff and contractors.</w:t>
      </w:r>
    </w:p>
    <w:p w14:paraId="52CA7731" w14:textId="11B46206" w:rsidR="00840B86" w:rsidRPr="00B64AE7" w:rsidRDefault="00840B86" w:rsidP="00467F9B">
      <w:pPr>
        <w:spacing w:before="240" w:after="240"/>
        <w:jc w:val="both"/>
        <w:rPr>
          <w:rFonts w:cs="Arial"/>
          <w:b/>
          <w:color w:val="003399"/>
          <w:sz w:val="24"/>
          <w:szCs w:val="24"/>
        </w:rPr>
      </w:pPr>
      <w:r w:rsidRPr="00B64AE7">
        <w:rPr>
          <w:rFonts w:cs="Arial"/>
          <w:b/>
          <w:color w:val="003399"/>
          <w:sz w:val="24"/>
          <w:szCs w:val="24"/>
        </w:rPr>
        <w:t>Reporting</w:t>
      </w:r>
    </w:p>
    <w:p w14:paraId="3C4B733C" w14:textId="7C176134" w:rsidR="00840B86" w:rsidRPr="00020991" w:rsidRDefault="00840B86" w:rsidP="00020991">
      <w:pPr>
        <w:pStyle w:val="CommentText"/>
        <w:rPr>
          <w:sz w:val="22"/>
          <w:szCs w:val="22"/>
        </w:rPr>
      </w:pPr>
      <w:r w:rsidRPr="00020991">
        <w:rPr>
          <w:rFonts w:cs="Tahoma"/>
          <w:sz w:val="22"/>
          <w:szCs w:val="22"/>
        </w:rPr>
        <w:t>If a member of centre staff</w:t>
      </w:r>
      <w:r w:rsidR="00020991" w:rsidRPr="00020991">
        <w:rPr>
          <w:sz w:val="22"/>
          <w:szCs w:val="22"/>
        </w:rPr>
        <w:t xml:space="preserve"> involved in the management, administration and/or conducting of examinations</w:t>
      </w:r>
      <w:r w:rsidR="006A6530">
        <w:rPr>
          <w:sz w:val="22"/>
          <w:szCs w:val="22"/>
        </w:rPr>
        <w:t xml:space="preserve"> </w:t>
      </w:r>
      <w:r w:rsidR="006A6530" w:rsidRPr="00640F75">
        <w:rPr>
          <w:rFonts w:cs="Tahoma"/>
          <w:color w:val="000000"/>
          <w:highlight w:val="yellow"/>
        </w:rPr>
        <w:t>and assessments</w:t>
      </w:r>
      <w:r w:rsidR="00020991" w:rsidRPr="00020991">
        <w:rPr>
          <w:sz w:val="22"/>
          <w:szCs w:val="22"/>
        </w:rPr>
        <w:t xml:space="preserve"> (such as exams officer, exams assistant or invigilator), a </w:t>
      </w:r>
      <w:r w:rsidR="00332831" w:rsidRPr="00020991">
        <w:rPr>
          <w:rFonts w:cs="Tahoma"/>
          <w:sz w:val="22"/>
          <w:szCs w:val="22"/>
        </w:rPr>
        <w:t>student</w:t>
      </w:r>
      <w:r w:rsidR="00453B51" w:rsidRPr="00020991">
        <w:rPr>
          <w:rFonts w:cs="Tahoma"/>
          <w:sz w:val="22"/>
          <w:szCs w:val="22"/>
        </w:rPr>
        <w:t xml:space="preserve"> </w:t>
      </w:r>
      <w:r w:rsidRPr="00020991">
        <w:rPr>
          <w:rFonts w:cs="Tahoma"/>
          <w:sz w:val="22"/>
          <w:szCs w:val="22"/>
        </w:rPr>
        <w:t xml:space="preserve">or </w:t>
      </w:r>
      <w:r w:rsidR="00020991" w:rsidRPr="00020991">
        <w:rPr>
          <w:rFonts w:cs="Tahoma"/>
          <w:sz w:val="22"/>
          <w:szCs w:val="22"/>
        </w:rPr>
        <w:t xml:space="preserve">a </w:t>
      </w:r>
      <w:r w:rsidRPr="00020991">
        <w:rPr>
          <w:rFonts w:cs="Tahoma"/>
          <w:sz w:val="22"/>
          <w:szCs w:val="22"/>
        </w:rPr>
        <w:t>member of the public</w:t>
      </w:r>
      <w:r w:rsidR="00453B51" w:rsidRPr="00020991">
        <w:rPr>
          <w:rFonts w:cs="Tahoma"/>
          <w:sz w:val="22"/>
          <w:szCs w:val="22"/>
        </w:rPr>
        <w:t xml:space="preserve"> (such as a parent/carer)</w:t>
      </w:r>
      <w:r w:rsidRPr="00020991">
        <w:rPr>
          <w:rFonts w:cs="Tahoma"/>
          <w:sz w:val="22"/>
          <w:szCs w:val="22"/>
        </w:rPr>
        <w:t xml:space="preserve"> has a concern or reason to believe that</w:t>
      </w:r>
      <w:r w:rsidRPr="00020991">
        <w:rPr>
          <w:rStyle w:val="apple-converted-space"/>
          <w:rFonts w:cs="Tahoma"/>
          <w:sz w:val="22"/>
          <w:szCs w:val="22"/>
        </w:rPr>
        <w:t> </w:t>
      </w:r>
      <w:r w:rsidRPr="00020991">
        <w:rPr>
          <w:rFonts w:cs="Tahoma"/>
          <w:sz w:val="22"/>
          <w:szCs w:val="22"/>
        </w:rPr>
        <w:t>malpractice</w:t>
      </w:r>
      <w:r w:rsidRPr="00020991">
        <w:rPr>
          <w:rStyle w:val="apple-converted-space"/>
          <w:rFonts w:cs="Tahoma"/>
          <w:sz w:val="22"/>
          <w:szCs w:val="22"/>
        </w:rPr>
        <w:t> </w:t>
      </w:r>
      <w:r w:rsidRPr="00020991">
        <w:rPr>
          <w:rFonts w:cs="Tahoma"/>
          <w:sz w:val="22"/>
          <w:szCs w:val="22"/>
        </w:rPr>
        <w:t xml:space="preserve">has or will occur in an examination or assessment, concerns should normally be raised initially with </w:t>
      </w:r>
      <w:r w:rsidRPr="00020991">
        <w:rPr>
          <w:rFonts w:cs="Tahoma"/>
          <w:color w:val="FF3300"/>
          <w:sz w:val="22"/>
          <w:szCs w:val="22"/>
        </w:rPr>
        <w:t>[insert who</w:t>
      </w:r>
      <w:r w:rsidR="00962C08" w:rsidRPr="00020991">
        <w:rPr>
          <w:rFonts w:cs="Tahoma"/>
          <w:color w:val="FF3300"/>
          <w:sz w:val="22"/>
          <w:szCs w:val="22"/>
        </w:rPr>
        <w:t xml:space="preserve"> (</w:t>
      </w:r>
      <w:r w:rsidRPr="00020991">
        <w:rPr>
          <w:rFonts w:cs="Tahoma"/>
          <w:color w:val="FF3300"/>
          <w:sz w:val="22"/>
          <w:szCs w:val="22"/>
        </w:rPr>
        <w:t>job role/title</w:t>
      </w:r>
      <w:r w:rsidR="00962C08" w:rsidRPr="00020991">
        <w:rPr>
          <w:rFonts w:cs="Tahoma"/>
          <w:color w:val="FF3300"/>
          <w:sz w:val="22"/>
          <w:szCs w:val="22"/>
        </w:rPr>
        <w:t>)</w:t>
      </w:r>
      <w:r w:rsidRPr="00020991">
        <w:rPr>
          <w:rFonts w:cs="Tahoma"/>
          <w:color w:val="FF3300"/>
          <w:sz w:val="22"/>
          <w:szCs w:val="22"/>
        </w:rPr>
        <w:t xml:space="preserve"> as example, the member of the senior leadership team with oversight of examination </w:t>
      </w:r>
      <w:r w:rsidR="006A6530" w:rsidRPr="006A6530">
        <w:rPr>
          <w:rFonts w:cs="Tahoma"/>
          <w:color w:val="FF3300"/>
          <w:highlight w:val="yellow"/>
        </w:rPr>
        <w:t>and assessment</w:t>
      </w:r>
      <w:r w:rsidR="006A6530" w:rsidRPr="006A6530">
        <w:rPr>
          <w:rFonts w:cs="Tahoma"/>
          <w:color w:val="FF3300"/>
        </w:rPr>
        <w:t xml:space="preserve"> </w:t>
      </w:r>
      <w:r w:rsidRPr="006A6530">
        <w:rPr>
          <w:rFonts w:cs="Tahoma"/>
          <w:color w:val="FF3300"/>
          <w:sz w:val="22"/>
          <w:szCs w:val="22"/>
        </w:rPr>
        <w:t>administration</w:t>
      </w:r>
      <w:r w:rsidRPr="00020991">
        <w:rPr>
          <w:rFonts w:cs="Tahoma"/>
          <w:color w:val="FF3300"/>
          <w:sz w:val="22"/>
          <w:szCs w:val="22"/>
        </w:rPr>
        <w:t>]</w:t>
      </w:r>
      <w:r w:rsidRPr="00020991">
        <w:rPr>
          <w:rFonts w:cs="Tahoma"/>
          <w:sz w:val="22"/>
          <w:szCs w:val="22"/>
        </w:rPr>
        <w:t xml:space="preserve">. </w:t>
      </w:r>
    </w:p>
    <w:p w14:paraId="7CCFEB62" w14:textId="1EF59EC5" w:rsidR="0032654B" w:rsidRPr="00C22F7B" w:rsidRDefault="00C22F7B" w:rsidP="00C22F7B">
      <w:pPr>
        <w:spacing w:before="0"/>
        <w:rPr>
          <w:rFonts w:cs="Tahoma"/>
          <w:color w:val="000000"/>
        </w:rPr>
      </w:pPr>
      <w:r w:rsidRPr="00020991">
        <w:rPr>
          <w:rFonts w:cs="Tahoma"/>
          <w:color w:val="000000"/>
        </w:rPr>
        <w:t xml:space="preserve">However, </w:t>
      </w:r>
      <w:r w:rsidR="0032654B" w:rsidRPr="00020991">
        <w:rPr>
          <w:rFonts w:cs="Tahoma"/>
          <w:color w:val="000000"/>
        </w:rPr>
        <w:t>there may be times when it may be more appropriate to refer the issue direct to the governing board, most often when the allegation is against the head of centre.</w:t>
      </w:r>
    </w:p>
    <w:p w14:paraId="10942A79" w14:textId="1766F4DD" w:rsidR="00250429" w:rsidRPr="001C1D90" w:rsidRDefault="00250429" w:rsidP="00840B86">
      <w:pPr>
        <w:pStyle w:val="NormalWeb"/>
        <w:spacing w:before="0" w:beforeAutospacing="0" w:after="120" w:afterAutospacing="0"/>
        <w:rPr>
          <w:rFonts w:ascii="Tahoma" w:hAnsi="Tahoma" w:cs="Tahoma"/>
          <w:b/>
          <w:bCs/>
          <w:szCs w:val="22"/>
        </w:rPr>
      </w:pPr>
      <w:r w:rsidRPr="001C1D90">
        <w:rPr>
          <w:rFonts w:ascii="Tahoma" w:hAnsi="Tahoma" w:cs="Tahoma"/>
          <w:b/>
          <w:bCs/>
          <w:szCs w:val="22"/>
        </w:rPr>
        <w:t>Examples of malpractice</w:t>
      </w:r>
    </w:p>
    <w:p w14:paraId="4659C813" w14:textId="2B07D0FB" w:rsidR="001C1D90" w:rsidRPr="00BA3F6B" w:rsidRDefault="001C1D90" w:rsidP="001C1D90">
      <w:pPr>
        <w:rPr>
          <w:rFonts w:cs="Arial"/>
        </w:rPr>
      </w:pPr>
      <w:r>
        <w:rPr>
          <w:rFonts w:cs="Arial"/>
        </w:rPr>
        <w:t xml:space="preserve">In addition to the centre wide Whistleblowing Policy, this </w:t>
      </w:r>
      <w:r w:rsidR="008B2A2E">
        <w:rPr>
          <w:rFonts w:cs="Arial"/>
        </w:rPr>
        <w:t xml:space="preserve">exams-specific policy, includes reference to exams-related breaches including, but not limited to, </w:t>
      </w:r>
      <w:r w:rsidRPr="00BA3F6B">
        <w:rPr>
          <w:rFonts w:cs="Arial"/>
        </w:rPr>
        <w:t>the following:</w:t>
      </w:r>
    </w:p>
    <w:p w14:paraId="7D5D68AD" w14:textId="739C3EA9"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 xml:space="preserve">Failure to comply with exam regulations as set out by the Joint Council </w:t>
      </w:r>
      <w:r w:rsidR="00BD680A">
        <w:rPr>
          <w:rFonts w:cs="Arial"/>
        </w:rPr>
        <w:t xml:space="preserve">for </w:t>
      </w:r>
      <w:r w:rsidRPr="001C1D90">
        <w:rPr>
          <w:rFonts w:cs="Arial"/>
        </w:rPr>
        <w:t>Qualifications</w:t>
      </w:r>
      <w:r w:rsidR="00BD680A">
        <w:rPr>
          <w:rFonts w:cs="Arial"/>
        </w:rPr>
        <w:t xml:space="preserve"> (JCQ)</w:t>
      </w:r>
      <w:r w:rsidRPr="001C1D90">
        <w:rPr>
          <w:rFonts w:cs="Arial"/>
        </w:rPr>
        <w:t xml:space="preserve"> and </w:t>
      </w:r>
      <w:r w:rsidR="00467F9B">
        <w:rPr>
          <w:rFonts w:cs="Arial"/>
        </w:rPr>
        <w:t>its</w:t>
      </w:r>
      <w:r w:rsidRPr="001C1D90">
        <w:rPr>
          <w:rFonts w:cs="Arial"/>
        </w:rPr>
        <w:t xml:space="preserve"> awarding bodies</w:t>
      </w:r>
    </w:p>
    <w:p w14:paraId="0385A4A5" w14:textId="77777777"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A security breach of the examination paper</w:t>
      </w:r>
    </w:p>
    <w:p w14:paraId="390A01B8" w14:textId="5534B0CC"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Conduct of centre staff which undermines the integrity of the examination</w:t>
      </w:r>
      <w:r w:rsidR="007345F9" w:rsidRPr="007345F9">
        <w:rPr>
          <w:rFonts w:cs="Arial"/>
          <w:highlight w:val="yellow"/>
        </w:rPr>
        <w:t>/assessment</w:t>
      </w:r>
    </w:p>
    <w:p w14:paraId="4FF0B706" w14:textId="7542F575"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 xml:space="preserve">Unfair treatment </w:t>
      </w:r>
      <w:r w:rsidR="005856AB">
        <w:rPr>
          <w:rFonts w:cs="Arial"/>
        </w:rPr>
        <w:t xml:space="preserve">of </w:t>
      </w:r>
      <w:r w:rsidRPr="001C1D90">
        <w:rPr>
          <w:rFonts w:cs="Arial"/>
        </w:rPr>
        <w:t>candidates by either giving an advantage to a candidate/group of candidates (e.g</w:t>
      </w:r>
      <w:r w:rsidR="005856AB">
        <w:rPr>
          <w:rFonts w:cs="Arial"/>
        </w:rPr>
        <w:t>.</w:t>
      </w:r>
      <w:r w:rsidRPr="001C1D90">
        <w:rPr>
          <w:rFonts w:cs="Arial"/>
        </w:rPr>
        <w:t xml:space="preserve"> by </w:t>
      </w:r>
      <w:r w:rsidR="005856AB">
        <w:rPr>
          <w:rFonts w:cs="Arial"/>
        </w:rPr>
        <w:t>permitting</w:t>
      </w:r>
      <w:r w:rsidRPr="001C1D90">
        <w:rPr>
          <w:rFonts w:cs="Arial"/>
        </w:rPr>
        <w:t xml:space="preserve"> </w:t>
      </w:r>
      <w:r w:rsidR="00BF73AF">
        <w:rPr>
          <w:rFonts w:cs="Arial"/>
        </w:rPr>
        <w:t xml:space="preserve">a candidate </w:t>
      </w:r>
      <w:r w:rsidRPr="001C1D90">
        <w:rPr>
          <w:rFonts w:cs="Arial"/>
        </w:rPr>
        <w:t xml:space="preserve">an access arrangement </w:t>
      </w:r>
      <w:r w:rsidR="005856AB">
        <w:rPr>
          <w:rFonts w:cs="Arial"/>
        </w:rPr>
        <w:t>which is</w:t>
      </w:r>
      <w:r w:rsidR="00BF73AF">
        <w:rPr>
          <w:rFonts w:cs="Arial"/>
        </w:rPr>
        <w:t xml:space="preserve"> not supported by appropriate evidence</w:t>
      </w:r>
      <w:r w:rsidRPr="001C1D90">
        <w:rPr>
          <w:rFonts w:cs="Arial"/>
        </w:rPr>
        <w:t>), or disadvantaging candidates by not providing access to the appropriate conditions (providing a ‘level playing field</w:t>
      </w:r>
      <w:r w:rsidR="005856AB">
        <w:rPr>
          <w:rFonts w:cs="Arial"/>
        </w:rPr>
        <w:t>’</w:t>
      </w:r>
      <w:r w:rsidRPr="001C1D90">
        <w:rPr>
          <w:rFonts w:cs="Arial"/>
        </w:rPr>
        <w:t>)</w:t>
      </w:r>
    </w:p>
    <w:p w14:paraId="60AA5072" w14:textId="3783C51F"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Possible fraud and corruption (e.g</w:t>
      </w:r>
      <w:r w:rsidR="005856AB">
        <w:rPr>
          <w:rFonts w:cs="Arial"/>
        </w:rPr>
        <w:t>.</w:t>
      </w:r>
      <w:r w:rsidRPr="001C1D90">
        <w:rPr>
          <w:rFonts w:cs="Arial"/>
        </w:rPr>
        <w:t xml:space="preserve"> accessing the exam paper prior to the exam to aid teaching and learning)</w:t>
      </w:r>
    </w:p>
    <w:p w14:paraId="00DD1B81" w14:textId="2667996C"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Abuse of authority (e.g</w:t>
      </w:r>
      <w:r w:rsidR="005856AB">
        <w:rPr>
          <w:rFonts w:cs="Arial"/>
        </w:rPr>
        <w:t>.</w:t>
      </w:r>
      <w:r w:rsidRPr="001C1D90">
        <w:rPr>
          <w:rFonts w:cs="Arial"/>
        </w:rPr>
        <w:t xml:space="preserve"> the head of centre/members of the senior leadership team overriding JCQ and awarding body regulations)</w:t>
      </w:r>
    </w:p>
    <w:p w14:paraId="365A6ECF" w14:textId="1A1B891A" w:rsidR="001C1D90" w:rsidRPr="008B2A2E"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Other conduct which may be interpreted as malpractice/maladministration</w:t>
      </w:r>
    </w:p>
    <w:p w14:paraId="359095DF" w14:textId="4D437FFB" w:rsidR="00840B86" w:rsidRPr="00B64AE7" w:rsidRDefault="00840B86" w:rsidP="00BF73AF">
      <w:pPr>
        <w:spacing w:before="240" w:after="240"/>
        <w:jc w:val="both"/>
        <w:rPr>
          <w:rFonts w:cs="Arial"/>
          <w:b/>
          <w:color w:val="003399"/>
          <w:sz w:val="24"/>
          <w:szCs w:val="24"/>
        </w:rPr>
      </w:pPr>
      <w:r w:rsidRPr="00B64AE7">
        <w:rPr>
          <w:rFonts w:cs="Arial"/>
          <w:b/>
          <w:color w:val="003399"/>
          <w:sz w:val="24"/>
          <w:szCs w:val="24"/>
        </w:rPr>
        <w:t>Whistleblowing procedure</w:t>
      </w:r>
    </w:p>
    <w:p w14:paraId="06D25406" w14:textId="5A2E4921" w:rsidR="00840B86" w:rsidRPr="00B64AE7" w:rsidRDefault="00840B86" w:rsidP="00840B86">
      <w:pPr>
        <w:pStyle w:val="NormalWeb"/>
        <w:spacing w:before="0" w:beforeAutospacing="0" w:after="120" w:afterAutospacing="0"/>
        <w:rPr>
          <w:rFonts w:ascii="Tahoma" w:hAnsi="Tahoma" w:cs="Tahoma"/>
          <w:szCs w:val="22"/>
        </w:rPr>
      </w:pPr>
      <w:r w:rsidRPr="00840091">
        <w:rPr>
          <w:rFonts w:ascii="Tahoma" w:hAnsi="Tahoma" w:cs="Tahoma"/>
          <w:szCs w:val="22"/>
        </w:rPr>
        <w:t xml:space="preserve">If </w:t>
      </w:r>
      <w:r w:rsidR="00453B51">
        <w:rPr>
          <w:rFonts w:ascii="Tahoma" w:hAnsi="Tahoma" w:cs="Tahoma"/>
          <w:szCs w:val="22"/>
        </w:rPr>
        <w:t>the individual does</w:t>
      </w:r>
      <w:r w:rsidRPr="00840091">
        <w:rPr>
          <w:rFonts w:ascii="Tahoma" w:hAnsi="Tahoma" w:cs="Tahoma"/>
          <w:szCs w:val="22"/>
        </w:rPr>
        <w:t xml:space="preserve"> not feel safe raising</w:t>
      </w:r>
      <w:r w:rsidRPr="00B64AE7">
        <w:rPr>
          <w:rFonts w:ascii="Tahoma" w:hAnsi="Tahoma" w:cs="Tahoma"/>
          <w:szCs w:val="22"/>
        </w:rPr>
        <w:t xml:space="preserve"> the issue/reporting malpractice</w:t>
      </w:r>
      <w:r w:rsidRPr="00840091">
        <w:rPr>
          <w:rFonts w:ascii="Tahoma" w:hAnsi="Tahoma" w:cs="Tahoma"/>
          <w:szCs w:val="22"/>
        </w:rPr>
        <w:t xml:space="preserve"> within the centre, or </w:t>
      </w:r>
      <w:r w:rsidR="00453B51">
        <w:rPr>
          <w:rFonts w:ascii="Tahoma" w:hAnsi="Tahoma" w:cs="Tahoma"/>
          <w:szCs w:val="22"/>
        </w:rPr>
        <w:t xml:space="preserve">they </w:t>
      </w:r>
      <w:r w:rsidRPr="00840091">
        <w:rPr>
          <w:rFonts w:ascii="Tahoma" w:hAnsi="Tahoma" w:cs="Tahoma"/>
          <w:szCs w:val="22"/>
        </w:rPr>
        <w:t xml:space="preserve">have done so and are concerned that no action has been taken, </w:t>
      </w:r>
      <w:r w:rsidR="00453B51">
        <w:rPr>
          <w:rFonts w:ascii="Tahoma" w:hAnsi="Tahoma" w:cs="Tahoma"/>
          <w:szCs w:val="22"/>
        </w:rPr>
        <w:t>that individual</w:t>
      </w:r>
      <w:r w:rsidRPr="00840091">
        <w:rPr>
          <w:rFonts w:ascii="Tahoma" w:hAnsi="Tahoma" w:cs="Tahoma"/>
          <w:szCs w:val="22"/>
        </w:rPr>
        <w:t xml:space="preserve"> could consider making </w:t>
      </w:r>
      <w:r w:rsidR="00453B51">
        <w:rPr>
          <w:rFonts w:ascii="Tahoma" w:hAnsi="Tahoma" w:cs="Tahoma"/>
          <w:szCs w:val="22"/>
        </w:rPr>
        <w:t>their</w:t>
      </w:r>
      <w:r w:rsidRPr="00840091">
        <w:rPr>
          <w:rFonts w:ascii="Tahoma" w:hAnsi="Tahoma" w:cs="Tahoma"/>
          <w:szCs w:val="22"/>
        </w:rPr>
        <w:t xml:space="preserve"> disclosure</w:t>
      </w:r>
      <w:r w:rsidRPr="00B64AE7">
        <w:rPr>
          <w:rStyle w:val="FootnoteReference"/>
          <w:rFonts w:ascii="Tahoma" w:hAnsi="Tahoma" w:cs="Tahoma"/>
          <w:szCs w:val="22"/>
        </w:rPr>
        <w:footnoteReference w:id="4"/>
      </w:r>
      <w:r w:rsidRPr="00840091">
        <w:rPr>
          <w:rFonts w:ascii="Tahoma" w:hAnsi="Tahoma" w:cs="Tahoma"/>
          <w:szCs w:val="22"/>
        </w:rPr>
        <w:t xml:space="preserve"> </w:t>
      </w:r>
      <w:r w:rsidRPr="00B64AE7">
        <w:rPr>
          <w:rFonts w:ascii="Tahoma" w:hAnsi="Tahoma" w:cs="Tahoma"/>
          <w:szCs w:val="22"/>
        </w:rPr>
        <w:t xml:space="preserve">to a malpractice expert at the awarding body for the </w:t>
      </w:r>
      <w:r w:rsidRPr="0032755B">
        <w:rPr>
          <w:rFonts w:ascii="Tahoma" w:hAnsi="Tahoma" w:cs="Tahoma"/>
          <w:szCs w:val="22"/>
        </w:rPr>
        <w:t>qualification where malpractice is suspected</w:t>
      </w:r>
      <w:r w:rsidRPr="00B64AE7">
        <w:rPr>
          <w:rFonts w:ascii="Tahoma" w:hAnsi="Tahoma" w:cs="Tahoma"/>
          <w:szCs w:val="22"/>
        </w:rPr>
        <w:t xml:space="preserve">. </w:t>
      </w:r>
    </w:p>
    <w:p w14:paraId="3D7E75E7" w14:textId="3A32A7AF" w:rsidR="00437672" w:rsidRPr="00124927" w:rsidRDefault="00DB1CB3" w:rsidP="00124927">
      <w:pPr>
        <w:spacing w:before="0"/>
        <w:rPr>
          <w:rFonts w:eastAsia="Times New Roman" w:cs="Tahoma"/>
        </w:rPr>
      </w:pPr>
      <w:r w:rsidRPr="00124927">
        <w:rPr>
          <w:rFonts w:cs="Tahoma"/>
        </w:rPr>
        <w:t>For members of centre staff,</w:t>
      </w:r>
      <w:r w:rsidR="00840B86" w:rsidRPr="00124927">
        <w:rPr>
          <w:rFonts w:cs="Tahoma"/>
        </w:rPr>
        <w:t xml:space="preserve"> </w:t>
      </w:r>
      <w:r w:rsidRPr="00124927">
        <w:rPr>
          <w:rFonts w:eastAsia="Times New Roman" w:cs="Tahoma"/>
          <w:shd w:val="clear" w:color="auto" w:fill="FFFFFF"/>
        </w:rPr>
        <w:t>it is likely that the Public Interest Disclosure Act (PIDA)</w:t>
      </w:r>
      <w:r w:rsidRPr="00124927">
        <w:rPr>
          <w:rStyle w:val="FootnoteReference"/>
          <w:rFonts w:eastAsia="Times New Roman" w:cs="Tahoma"/>
          <w:shd w:val="clear" w:color="auto" w:fill="FFFFFF"/>
        </w:rPr>
        <w:footnoteReference w:id="5"/>
      </w:r>
      <w:r w:rsidRPr="00124927">
        <w:rPr>
          <w:rFonts w:eastAsia="Times New Roman" w:cs="Tahoma"/>
          <w:shd w:val="clear" w:color="auto" w:fill="FFFFFF"/>
        </w:rPr>
        <w:t xml:space="preserve"> offers you legal protection from being dismissed or penalised for raising certain serious concerns (‘blowing the whistle’</w:t>
      </w:r>
      <w:r w:rsidR="00962ECE" w:rsidRPr="00124927">
        <w:rPr>
          <w:rFonts w:eastAsia="Times New Roman" w:cs="Tahoma"/>
          <w:shd w:val="clear" w:color="auto" w:fill="FFFFFF"/>
        </w:rPr>
        <w:t>). Whistleblowing</w:t>
      </w:r>
      <w:r w:rsidR="00073C41" w:rsidRPr="00124927">
        <w:rPr>
          <w:rFonts w:eastAsia="Times New Roman" w:cs="Tahoma"/>
          <w:shd w:val="clear" w:color="auto" w:fill="FFFFFF"/>
        </w:rPr>
        <w:t xml:space="preserve"> rights under PIDA are day one rights</w:t>
      </w:r>
      <w:r w:rsidR="00437672" w:rsidRPr="00124927">
        <w:rPr>
          <w:rStyle w:val="FootnoteReference"/>
          <w:rFonts w:eastAsia="Times New Roman" w:cs="Tahoma"/>
          <w:shd w:val="clear" w:color="auto" w:fill="FFFFFF"/>
        </w:rPr>
        <w:footnoteReference w:id="6"/>
      </w:r>
      <w:r w:rsidR="00073C41" w:rsidRPr="00124927">
        <w:rPr>
          <w:rFonts w:eastAsia="Times New Roman" w:cs="Tahoma"/>
          <w:shd w:val="clear" w:color="auto" w:fill="FFFFFF"/>
        </w:rPr>
        <w:t>. This means that the worker does not need the same two years’ service that is needed for other employment rights.</w:t>
      </w:r>
    </w:p>
    <w:p w14:paraId="4068050F" w14:textId="5F182CE0" w:rsidR="00840B86" w:rsidRPr="00437672" w:rsidRDefault="00840B86" w:rsidP="00437672">
      <w:pPr>
        <w:spacing w:before="0"/>
        <w:rPr>
          <w:rFonts w:eastAsia="Times New Roman" w:cs="Tahoma"/>
        </w:rPr>
      </w:pPr>
      <w:r w:rsidRPr="00B64AE7">
        <w:rPr>
          <w:rFonts w:cs="Tahoma"/>
        </w:rPr>
        <w:t>In order to investigate concerns effectively, the awarding body should be provided with as much information as possible/is relevant, which may include:</w:t>
      </w:r>
    </w:p>
    <w:p w14:paraId="7196F899"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qualifications and subjects involved</w:t>
      </w:r>
    </w:p>
    <w:p w14:paraId="47CBF1DA"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centre involved</w:t>
      </w:r>
    </w:p>
    <w:p w14:paraId="760A242A"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names of staff/candidates involved</w:t>
      </w:r>
    </w:p>
    <w:p w14:paraId="7E1A55A4"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regulations breached/specific nature of suspected malpractice</w:t>
      </w:r>
    </w:p>
    <w:p w14:paraId="5354747B"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When and where the suspected malpractice occurred</w:t>
      </w:r>
    </w:p>
    <w:p w14:paraId="6A056EEB"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Whether multiple examination series are affected</w:t>
      </w:r>
    </w:p>
    <w:p w14:paraId="6D7D1E36"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lastRenderedPageBreak/>
        <w:t>If the issue has been reported to the centre and what the outcome was</w:t>
      </w:r>
    </w:p>
    <w:p w14:paraId="73FCEC95" w14:textId="2E163707" w:rsidR="00840B86" w:rsidRPr="00B64AE7" w:rsidRDefault="00840B86" w:rsidP="00840B86">
      <w:pPr>
        <w:pStyle w:val="NormalWeb"/>
        <w:numPr>
          <w:ilvl w:val="0"/>
          <w:numId w:val="29"/>
        </w:numPr>
        <w:spacing w:before="0" w:beforeAutospacing="0" w:after="120" w:afterAutospacing="0"/>
        <w:rPr>
          <w:rFonts w:ascii="Tahoma" w:hAnsi="Tahoma" w:cs="Tahoma"/>
          <w:szCs w:val="22"/>
        </w:rPr>
      </w:pPr>
      <w:r w:rsidRPr="00B64AE7">
        <w:rPr>
          <w:rFonts w:ascii="Tahoma" w:hAnsi="Tahoma" w:cs="Tahoma"/>
          <w:szCs w:val="22"/>
        </w:rPr>
        <w:t>How the issue became apparent</w:t>
      </w:r>
    </w:p>
    <w:p w14:paraId="490D10C8" w14:textId="217B684D" w:rsidR="00840B86" w:rsidRPr="00B64AE7" w:rsidRDefault="00840B86" w:rsidP="00840B86">
      <w:pPr>
        <w:pStyle w:val="NormalWeb"/>
        <w:spacing w:before="0" w:beforeAutospacing="0" w:after="120" w:afterAutospacing="0"/>
        <w:rPr>
          <w:rFonts w:ascii="Tahoma" w:hAnsi="Tahoma" w:cs="Tahoma"/>
          <w:szCs w:val="22"/>
        </w:rPr>
      </w:pPr>
      <w:r w:rsidRPr="00B64AE7">
        <w:rPr>
          <w:rFonts w:ascii="Tahoma" w:hAnsi="Tahoma" w:cs="Tahoma"/>
          <w:szCs w:val="22"/>
        </w:rPr>
        <w:t xml:space="preserve">Members of the public are not protected by PIDA, but the awarding </w:t>
      </w:r>
      <w:r w:rsidR="004410F0">
        <w:rPr>
          <w:rFonts w:ascii="Tahoma" w:hAnsi="Tahoma" w:cs="Tahoma"/>
          <w:szCs w:val="22"/>
        </w:rPr>
        <w:t xml:space="preserve">body </w:t>
      </w:r>
      <w:r w:rsidRPr="00B64AE7">
        <w:rPr>
          <w:rFonts w:ascii="Tahoma" w:hAnsi="Tahoma" w:cs="Tahoma"/>
          <w:szCs w:val="22"/>
        </w:rPr>
        <w:t>will make every effort to protect their identity if that is what they wish, unless the awarding body is legally obliged to release it</w:t>
      </w:r>
      <w:r w:rsidRPr="00B64AE7">
        <w:rPr>
          <w:rStyle w:val="FootnoteReference"/>
          <w:rFonts w:ascii="Tahoma" w:hAnsi="Tahoma" w:cs="Tahoma"/>
          <w:szCs w:val="22"/>
        </w:rPr>
        <w:footnoteReference w:id="7"/>
      </w:r>
      <w:r w:rsidRPr="00B64AE7">
        <w:rPr>
          <w:rFonts w:ascii="Tahoma" w:hAnsi="Tahoma" w:cs="Tahoma"/>
          <w:szCs w:val="22"/>
        </w:rPr>
        <w:t xml:space="preserve">. </w:t>
      </w:r>
    </w:p>
    <w:p w14:paraId="3C7558C2" w14:textId="0E9A856B" w:rsidR="008D0EB0" w:rsidRDefault="00840B86" w:rsidP="00B64AE7">
      <w:pPr>
        <w:pStyle w:val="NormalWeb"/>
        <w:spacing w:before="0" w:beforeAutospacing="0" w:after="120" w:afterAutospacing="0"/>
        <w:rPr>
          <w:rFonts w:ascii="Tahoma" w:hAnsi="Tahoma" w:cs="Tahoma"/>
          <w:szCs w:val="22"/>
          <w:shd w:val="clear" w:color="auto" w:fill="FFFFFF"/>
        </w:rPr>
      </w:pPr>
      <w:r w:rsidRPr="00B64AE7">
        <w:rPr>
          <w:rFonts w:ascii="Tahoma" w:hAnsi="Tahoma" w:cs="Tahoma"/>
          <w:szCs w:val="22"/>
        </w:rPr>
        <w:t xml:space="preserve">Alternatively, a worker could </w:t>
      </w:r>
      <w:r w:rsidRPr="00840091">
        <w:rPr>
          <w:rFonts w:ascii="Tahoma" w:hAnsi="Tahoma" w:cs="Tahoma"/>
          <w:szCs w:val="22"/>
        </w:rPr>
        <w:t xml:space="preserve">consider making </w:t>
      </w:r>
      <w:r w:rsidRPr="00B64AE7">
        <w:rPr>
          <w:rFonts w:ascii="Tahoma" w:hAnsi="Tahoma" w:cs="Tahoma"/>
          <w:szCs w:val="22"/>
        </w:rPr>
        <w:t>a</w:t>
      </w:r>
      <w:r w:rsidRPr="00840091">
        <w:rPr>
          <w:rFonts w:ascii="Tahoma" w:hAnsi="Tahoma" w:cs="Tahoma"/>
          <w:szCs w:val="22"/>
        </w:rPr>
        <w:t xml:space="preserve"> disclosure</w:t>
      </w:r>
      <w:r w:rsidR="00124927">
        <w:rPr>
          <w:rFonts w:ascii="Tahoma" w:hAnsi="Tahoma" w:cs="Tahoma"/>
          <w:szCs w:val="22"/>
        </w:rPr>
        <w:t xml:space="preserve"> </w:t>
      </w:r>
      <w:r w:rsidRPr="00B64AE7">
        <w:rPr>
          <w:rFonts w:ascii="Tahoma" w:hAnsi="Tahoma" w:cs="Tahoma"/>
          <w:szCs w:val="22"/>
        </w:rPr>
        <w:t>to Ofqual</w:t>
      </w:r>
      <w:r w:rsidRPr="00B64AE7">
        <w:rPr>
          <w:rStyle w:val="FootnoteReference"/>
          <w:rFonts w:ascii="Tahoma" w:hAnsi="Tahoma" w:cs="Tahoma"/>
          <w:szCs w:val="22"/>
        </w:rPr>
        <w:footnoteReference w:id="8"/>
      </w:r>
      <w:r w:rsidRPr="00B64AE7">
        <w:rPr>
          <w:rFonts w:ascii="Tahoma" w:hAnsi="Tahoma" w:cs="Tahoma"/>
          <w:szCs w:val="22"/>
        </w:rPr>
        <w:t xml:space="preserve"> as a prescribed body for whistleblowing to raise</w:t>
      </w:r>
      <w:r w:rsidRPr="003B11BF">
        <w:rPr>
          <w:rFonts w:ascii="Tahoma" w:hAnsi="Tahoma" w:cs="Tahoma"/>
          <w:szCs w:val="22"/>
          <w:shd w:val="clear" w:color="auto" w:fill="FFFFFF"/>
        </w:rPr>
        <w:t xml:space="preserve"> a concern about wrongdoing, risk or malpractice</w:t>
      </w:r>
      <w:r w:rsidRPr="00B64AE7">
        <w:rPr>
          <w:rFonts w:ascii="Tahoma" w:hAnsi="Tahoma" w:cs="Tahoma"/>
          <w:szCs w:val="22"/>
          <w:shd w:val="clear" w:color="auto" w:fill="FFFFFF"/>
        </w:rPr>
        <w:t>.</w:t>
      </w:r>
    </w:p>
    <w:p w14:paraId="7C25F781" w14:textId="77777777" w:rsidR="008C2B6D" w:rsidRPr="008C2B6D" w:rsidRDefault="008C2B6D" w:rsidP="008C2B6D">
      <w:pPr>
        <w:spacing w:before="0"/>
        <w:rPr>
          <w:rFonts w:cs="Tahoma"/>
          <w:b/>
          <w:bCs/>
          <w:color w:val="000000"/>
          <w:highlight w:val="yellow"/>
        </w:rPr>
      </w:pPr>
      <w:r w:rsidRPr="008C2B6D">
        <w:rPr>
          <w:rFonts w:cs="Tahoma"/>
          <w:b/>
          <w:bCs/>
          <w:color w:val="000000"/>
          <w:highlight w:val="yellow"/>
        </w:rPr>
        <w:t>Exams Officer Professional Standards</w:t>
      </w:r>
    </w:p>
    <w:p w14:paraId="5794FD8F" w14:textId="77777777" w:rsidR="008C2B6D" w:rsidRPr="008C2B6D" w:rsidRDefault="008C2B6D" w:rsidP="008C2B6D">
      <w:pPr>
        <w:spacing w:before="0"/>
        <w:rPr>
          <w:rFonts w:cs="Tahoma"/>
          <w:color w:val="000000"/>
          <w:highlight w:val="yellow"/>
        </w:rPr>
      </w:pPr>
      <w:r w:rsidRPr="008C2B6D">
        <w:rPr>
          <w:rFonts w:cs="Tahoma"/>
          <w:color w:val="000000"/>
          <w:highlight w:val="yellow"/>
        </w:rPr>
        <w:t xml:space="preserve">If an exams officer is completing the </w:t>
      </w:r>
      <w:r w:rsidRPr="008C2B6D">
        <w:rPr>
          <w:rFonts w:cs="Tahoma"/>
          <w:i/>
          <w:iCs/>
          <w:color w:val="000000"/>
          <w:highlight w:val="yellow"/>
        </w:rPr>
        <w:t>Exams Officer Professional Standards</w:t>
      </w:r>
      <w:r w:rsidRPr="008C2B6D">
        <w:rPr>
          <w:rFonts w:cs="Tahoma"/>
          <w:color w:val="000000"/>
          <w:highlight w:val="yellow"/>
        </w:rPr>
        <w:t xml:space="preserve"> (see the National Association of Examinations Officers website for more information) as part of their annual professional development, they will be required to sign a </w:t>
      </w:r>
      <w:r w:rsidRPr="008C2B6D">
        <w:rPr>
          <w:rFonts w:cs="Tahoma"/>
          <w:i/>
          <w:iCs/>
          <w:color w:val="000000"/>
          <w:highlight w:val="yellow"/>
        </w:rPr>
        <w:t>Values and Attributes</w:t>
      </w:r>
      <w:r w:rsidRPr="008C2B6D">
        <w:rPr>
          <w:rFonts w:cs="Tahoma"/>
          <w:color w:val="000000"/>
          <w:highlight w:val="yellow"/>
        </w:rPr>
        <w:t xml:space="preserve"> </w:t>
      </w:r>
      <w:r w:rsidRPr="008C2B6D">
        <w:rPr>
          <w:rFonts w:cs="Tahoma"/>
          <w:i/>
          <w:iCs/>
          <w:color w:val="000000"/>
          <w:highlight w:val="yellow"/>
        </w:rPr>
        <w:t>statement</w:t>
      </w:r>
      <w:r w:rsidRPr="008C2B6D">
        <w:rPr>
          <w:rFonts w:cs="Tahoma"/>
          <w:color w:val="000000"/>
          <w:highlight w:val="yellow"/>
        </w:rPr>
        <w:t>.</w:t>
      </w:r>
    </w:p>
    <w:p w14:paraId="199B7562" w14:textId="76F49D5C" w:rsidR="008C2B6D" w:rsidRPr="008C2B6D" w:rsidRDefault="008C2B6D" w:rsidP="008C2B6D">
      <w:pPr>
        <w:spacing w:before="0"/>
        <w:rPr>
          <w:rFonts w:cs="Tahoma"/>
          <w:color w:val="000000"/>
        </w:rPr>
      </w:pPr>
      <w:r w:rsidRPr="008C2B6D">
        <w:rPr>
          <w:rFonts w:cs="Tahoma"/>
          <w:color w:val="000000"/>
          <w:highlight w:val="yellow"/>
        </w:rPr>
        <w:t>By signing this statement the exams officer, and their senior leadership team/line manager, are identifying a set of common values and attributes. These include</w:t>
      </w:r>
      <w:r w:rsidRPr="008C2B6D">
        <w:rPr>
          <w:rFonts w:cs="Tahoma"/>
          <w:color w:val="000000"/>
          <w:highlight w:val="yellow"/>
        </w:rPr>
        <w:t xml:space="preserve"> </w:t>
      </w:r>
      <w:r w:rsidRPr="008C2B6D">
        <w:rPr>
          <w:rFonts w:cs="Tahoma"/>
          <w:color w:val="000000"/>
          <w:highlight w:val="yellow"/>
        </w:rPr>
        <w:t>support for an exams officer when they are faced with a situation where they may be compromised by, or put under pressure to accept, a centre decision which may not align with JCQ and awarding organisation regulations (for example, being asked not to report an instance of suspected/actual malpractice). In such circumstances, the exams officer must act in line with the procedures set out in this policy.</w:t>
      </w:r>
    </w:p>
    <w:p w14:paraId="2B0666BA" w14:textId="77777777" w:rsidR="00545C91" w:rsidRPr="00545C91" w:rsidRDefault="00DB5A0D" w:rsidP="00BF73AF">
      <w:pPr>
        <w:spacing w:before="0"/>
        <w:rPr>
          <w:rFonts w:cs="Tahoma"/>
          <w:b/>
          <w:bCs/>
          <w:color w:val="000000"/>
        </w:rPr>
      </w:pPr>
      <w:r w:rsidRPr="00545C91">
        <w:rPr>
          <w:rFonts w:cs="Tahoma"/>
          <w:b/>
          <w:bCs/>
          <w:color w:val="000000"/>
        </w:rPr>
        <w:t>Anonymity</w:t>
      </w:r>
    </w:p>
    <w:p w14:paraId="1702A114" w14:textId="2831DC03" w:rsidR="009E3667" w:rsidRDefault="00DB5A0D" w:rsidP="00BF73AF">
      <w:pPr>
        <w:spacing w:before="0"/>
        <w:rPr>
          <w:rFonts w:cs="Tahoma"/>
          <w:color w:val="000000"/>
        </w:rPr>
      </w:pPr>
      <w:r w:rsidRPr="00E53222">
        <w:rPr>
          <w:rFonts w:cs="Tahoma"/>
          <w:color w:val="000000"/>
        </w:rPr>
        <w:t xml:space="preserve">In some circumstances, </w:t>
      </w:r>
      <w:r w:rsidR="00545C91">
        <w:rPr>
          <w:rFonts w:cs="Tahoma"/>
          <w:color w:val="000000"/>
        </w:rPr>
        <w:t>the whistleblower</w:t>
      </w:r>
      <w:r w:rsidRPr="00E53222">
        <w:rPr>
          <w:rFonts w:cs="Tahoma"/>
          <w:color w:val="000000"/>
        </w:rPr>
        <w:t xml:space="preserve"> might find it difficult to raise concerns with </w:t>
      </w:r>
      <w:r w:rsidR="00545C91">
        <w:rPr>
          <w:rFonts w:cs="Tahoma"/>
          <w:color w:val="000000"/>
        </w:rPr>
        <w:t xml:space="preserve">the nominated </w:t>
      </w:r>
      <w:r w:rsidR="0062440C">
        <w:rPr>
          <w:rFonts w:cs="Tahoma"/>
          <w:color w:val="000000"/>
        </w:rPr>
        <w:t>member of the senior leadership team</w:t>
      </w:r>
      <w:r w:rsidRPr="00E53222">
        <w:rPr>
          <w:rFonts w:cs="Tahoma"/>
          <w:color w:val="000000"/>
        </w:rPr>
        <w:t>. If a concern is raised anonymously,</w:t>
      </w:r>
      <w:r w:rsidR="0062440C">
        <w:rPr>
          <w:rFonts w:cs="Tahoma"/>
          <w:color w:val="000000"/>
        </w:rPr>
        <w:t xml:space="preserve"> </w:t>
      </w:r>
      <w:r w:rsidRPr="00E53222">
        <w:rPr>
          <w:rFonts w:cs="Tahoma"/>
          <w:color w:val="000000"/>
        </w:rPr>
        <w:t>the issue</w:t>
      </w:r>
      <w:r w:rsidR="0062440C">
        <w:rPr>
          <w:rFonts w:cs="Tahoma"/>
          <w:color w:val="000000"/>
        </w:rPr>
        <w:t xml:space="preserve"> may not be able to be taken</w:t>
      </w:r>
      <w:r w:rsidRPr="00E53222">
        <w:rPr>
          <w:rFonts w:cs="Tahoma"/>
          <w:color w:val="000000"/>
        </w:rPr>
        <w:t xml:space="preserve"> further if insufficient information has been provided. </w:t>
      </w:r>
      <w:r w:rsidR="009E3667">
        <w:rPr>
          <w:rFonts w:cs="Tahoma"/>
          <w:color w:val="000000"/>
        </w:rPr>
        <w:t xml:space="preserve">In such instances, and if appropriate, the allegation may be disclosed to a </w:t>
      </w:r>
      <w:r w:rsidR="009E3667" w:rsidRPr="00E53222">
        <w:rPr>
          <w:rFonts w:cs="Tahoma"/>
          <w:color w:val="000000"/>
        </w:rPr>
        <w:t xml:space="preserve">union representative, who could then be required to report the concern without disclosing its source. Alternatively, whistleblowers or others with concerns about potential malpractice can report the matter direct to Ofqual, </w:t>
      </w:r>
      <w:r w:rsidR="0031005C">
        <w:rPr>
          <w:rFonts w:cs="Tahoma"/>
          <w:color w:val="000000"/>
        </w:rPr>
        <w:t>who</w:t>
      </w:r>
      <w:r w:rsidR="009E3667" w:rsidRPr="00E53222">
        <w:rPr>
          <w:rFonts w:cs="Tahoma"/>
          <w:color w:val="000000"/>
        </w:rPr>
        <w:t xml:space="preserve"> is identified as a ‘prescribed body’</w:t>
      </w:r>
      <w:r w:rsidR="004D0862">
        <w:rPr>
          <w:rStyle w:val="FootnoteReference"/>
          <w:rFonts w:cs="Tahoma"/>
          <w:color w:val="000000"/>
        </w:rPr>
        <w:footnoteReference w:id="9"/>
      </w:r>
      <w:r w:rsidR="009E3667" w:rsidRPr="00E53222">
        <w:rPr>
          <w:rFonts w:cs="Tahoma"/>
          <w:color w:val="000000"/>
        </w:rPr>
        <w:t>. A</w:t>
      </w:r>
      <w:r w:rsidR="009E3667">
        <w:rPr>
          <w:rFonts w:cs="Tahoma"/>
          <w:color w:val="000000"/>
        </w:rPr>
        <w:t>warding organisation</w:t>
      </w:r>
      <w:r w:rsidR="009E3667" w:rsidRPr="00E53222">
        <w:rPr>
          <w:rFonts w:cs="Tahoma"/>
          <w:color w:val="000000"/>
        </w:rPr>
        <w:t xml:space="preserve">s are not prescribed bodies under whistleblowing legislation; however, </w:t>
      </w:r>
      <w:r w:rsidR="009E3667">
        <w:rPr>
          <w:rFonts w:cs="Tahoma"/>
          <w:color w:val="000000"/>
        </w:rPr>
        <w:t>awarding organisation</w:t>
      </w:r>
      <w:r w:rsidR="009E3667" w:rsidRPr="00E53222">
        <w:rPr>
          <w:rFonts w:cs="Tahoma"/>
          <w:color w:val="000000"/>
        </w:rPr>
        <w:t xml:space="preserve"> investigation teams do give those reporting concerns the opportunity for anonymity.</w:t>
      </w:r>
    </w:p>
    <w:p w14:paraId="2375CBD3" w14:textId="1974BD26" w:rsidR="009E3667" w:rsidRDefault="00DB5A0D" w:rsidP="00BF73AF">
      <w:pPr>
        <w:spacing w:before="0"/>
        <w:rPr>
          <w:rFonts w:cs="Tahoma"/>
          <w:color w:val="000000"/>
        </w:rPr>
      </w:pPr>
      <w:r w:rsidRPr="00E53222">
        <w:rPr>
          <w:rFonts w:cs="Tahoma"/>
          <w:color w:val="000000"/>
        </w:rPr>
        <w:t xml:space="preserve">A whistleblower can give </w:t>
      </w:r>
      <w:r w:rsidR="006B6575" w:rsidRPr="006B6575">
        <w:rPr>
          <w:rFonts w:cs="Tahoma"/>
          <w:color w:val="000000"/>
          <w:highlight w:val="yellow"/>
        </w:rPr>
        <w:t>their</w:t>
      </w:r>
      <w:r w:rsidRPr="00E53222">
        <w:rPr>
          <w:rFonts w:cs="Tahoma"/>
          <w:color w:val="000000"/>
        </w:rPr>
        <w:t xml:space="preserve"> </w:t>
      </w:r>
      <w:proofErr w:type="gramStart"/>
      <w:r w:rsidRPr="00E53222">
        <w:rPr>
          <w:rFonts w:cs="Tahoma"/>
          <w:color w:val="000000"/>
        </w:rPr>
        <w:t>name, but</w:t>
      </w:r>
      <w:proofErr w:type="gramEnd"/>
      <w:r w:rsidRPr="00E53222">
        <w:rPr>
          <w:rFonts w:cs="Tahoma"/>
          <w:color w:val="000000"/>
        </w:rPr>
        <w:t xml:space="preserve"> </w:t>
      </w:r>
      <w:r w:rsidR="009E3667">
        <w:rPr>
          <w:rFonts w:cs="Tahoma"/>
          <w:color w:val="000000"/>
        </w:rPr>
        <w:t xml:space="preserve">may also </w:t>
      </w:r>
      <w:r w:rsidRPr="00E53222">
        <w:rPr>
          <w:rFonts w:cs="Tahoma"/>
          <w:color w:val="000000"/>
        </w:rPr>
        <w:t>request con</w:t>
      </w:r>
      <w:r w:rsidRPr="00E53222">
        <w:rPr>
          <w:rFonts w:cs="Tahoma"/>
          <w:color w:val="000000"/>
        </w:rPr>
        <w:softHyphen/>
        <w:t>fidentiality; the person receiving the information should make every effort to protect the identity of the whistleblower.</w:t>
      </w:r>
      <w:r w:rsidR="003E66EC">
        <w:rPr>
          <w:rFonts w:cs="Tahoma"/>
          <w:color w:val="000000"/>
        </w:rPr>
        <w:t xml:space="preserve"> </w:t>
      </w:r>
    </w:p>
    <w:p w14:paraId="68AC22CD" w14:textId="549FCA2D" w:rsidR="003E66EC" w:rsidRPr="00545C91" w:rsidRDefault="003E66EC" w:rsidP="00BF73AF">
      <w:pPr>
        <w:spacing w:before="0"/>
        <w:rPr>
          <w:rFonts w:cs="Tahoma"/>
          <w:b/>
          <w:bCs/>
          <w:color w:val="000000"/>
        </w:rPr>
      </w:pPr>
      <w:r>
        <w:rPr>
          <w:rFonts w:cs="Tahoma"/>
          <w:b/>
          <w:bCs/>
          <w:color w:val="000000"/>
        </w:rPr>
        <w:t>Students</w:t>
      </w:r>
    </w:p>
    <w:p w14:paraId="0A5EAF8A" w14:textId="5C053771" w:rsidR="003E66EC" w:rsidRDefault="003E66EC" w:rsidP="00BF73AF">
      <w:pPr>
        <w:spacing w:before="0"/>
        <w:rPr>
          <w:rFonts w:cs="Tahoma"/>
          <w:color w:val="000000"/>
        </w:rPr>
      </w:pPr>
      <w:r>
        <w:rPr>
          <w:rFonts w:cs="Tahoma"/>
          <w:color w:val="000000"/>
        </w:rPr>
        <w:t>Students</w:t>
      </w:r>
      <w:r w:rsidR="00DB5A0D" w:rsidRPr="00E53222">
        <w:rPr>
          <w:rFonts w:cs="Tahoma"/>
          <w:color w:val="000000"/>
        </w:rPr>
        <w:t xml:space="preserve"> </w:t>
      </w:r>
      <w:r w:rsidR="00B44AF2">
        <w:rPr>
          <w:rFonts w:cs="Tahoma"/>
          <w:color w:val="000000"/>
        </w:rPr>
        <w:t xml:space="preserve">at </w:t>
      </w:r>
      <w:r w:rsidR="00B44AF2" w:rsidRPr="000303B0">
        <w:rPr>
          <w:rFonts w:eastAsia="Times New Roman" w:cs="Tahoma"/>
          <w:color w:val="FF3300"/>
        </w:rPr>
        <w:t xml:space="preserve">[Centre name] </w:t>
      </w:r>
      <w:r>
        <w:rPr>
          <w:rFonts w:cs="Tahoma"/>
          <w:color w:val="000000"/>
        </w:rPr>
        <w:t>are made</w:t>
      </w:r>
      <w:r w:rsidR="00DB5A0D" w:rsidRPr="00E53222">
        <w:rPr>
          <w:rFonts w:cs="Tahoma"/>
          <w:color w:val="000000"/>
        </w:rPr>
        <w:t xml:space="preserve"> </w:t>
      </w:r>
      <w:r>
        <w:rPr>
          <w:rFonts w:cs="Tahoma"/>
          <w:color w:val="000000"/>
        </w:rPr>
        <w:t xml:space="preserve">to </w:t>
      </w:r>
      <w:r w:rsidR="00DB5A0D" w:rsidRPr="00E53222">
        <w:rPr>
          <w:rFonts w:cs="Tahoma"/>
          <w:color w:val="000000"/>
        </w:rPr>
        <w:t>feel comfortable discussing/reporting malpractice issues of which they are aware</w:t>
      </w:r>
      <w:r>
        <w:rPr>
          <w:rFonts w:cs="Tahoma"/>
          <w:color w:val="000000"/>
        </w:rPr>
        <w:t xml:space="preserve">. The </w:t>
      </w:r>
      <w:r w:rsidRPr="00E53222">
        <w:rPr>
          <w:rFonts w:cs="Tahoma"/>
          <w:color w:val="000000"/>
        </w:rPr>
        <w:t xml:space="preserve">regulations surrounding their assessments, </w:t>
      </w:r>
      <w:r>
        <w:rPr>
          <w:rFonts w:cs="Tahoma"/>
          <w:color w:val="000000"/>
        </w:rPr>
        <w:t>and wider</w:t>
      </w:r>
      <w:r w:rsidRPr="00E53222">
        <w:rPr>
          <w:rFonts w:cs="Tahoma"/>
          <w:color w:val="000000"/>
        </w:rPr>
        <w:t xml:space="preserve"> academic integrity</w:t>
      </w:r>
      <w:r>
        <w:rPr>
          <w:rFonts w:cs="Tahoma"/>
          <w:color w:val="000000"/>
        </w:rPr>
        <w:t>, will be reiterated to s</w:t>
      </w:r>
      <w:r w:rsidR="00DB5A0D" w:rsidRPr="00E53222">
        <w:rPr>
          <w:rFonts w:cs="Tahoma"/>
          <w:color w:val="000000"/>
        </w:rPr>
        <w:t>tudents who are undertaking, or who are about to undertake, their courses of study</w:t>
      </w:r>
      <w:r>
        <w:rPr>
          <w:rFonts w:cs="Tahoma"/>
          <w:color w:val="000000"/>
        </w:rPr>
        <w:t>.</w:t>
      </w:r>
    </w:p>
    <w:p w14:paraId="19E426DC" w14:textId="77777777" w:rsidR="00DB5A0D" w:rsidRDefault="00DB5A0D" w:rsidP="00BF73AF">
      <w:pPr>
        <w:spacing w:before="0"/>
        <w:rPr>
          <w:rFonts w:ascii="-webkit-standard" w:hAnsi="-webkit-standard"/>
          <w:color w:val="000000"/>
        </w:rPr>
      </w:pPr>
      <w:r>
        <w:rPr>
          <w:rFonts w:ascii="-webkit-standard" w:hAnsi="-webkit-standard"/>
          <w:color w:val="000000"/>
        </w:rPr>
        <w:t> </w:t>
      </w:r>
    </w:p>
    <w:p w14:paraId="48E41647" w14:textId="77777777" w:rsidR="00DB5A0D" w:rsidRPr="00B64AE7" w:rsidRDefault="00DB5A0D" w:rsidP="00B64AE7">
      <w:pPr>
        <w:pStyle w:val="NormalWeb"/>
        <w:spacing w:before="0" w:beforeAutospacing="0" w:after="120" w:afterAutospacing="0"/>
        <w:rPr>
          <w:rFonts w:ascii="Tahoma" w:hAnsi="Tahoma" w:cs="Tahoma"/>
          <w:szCs w:val="22"/>
        </w:rPr>
      </w:pPr>
    </w:p>
    <w:sectPr w:rsidR="00DB5A0D" w:rsidRPr="00B64AE7" w:rsidSect="00F642BC">
      <w:footerReference w:type="default" r:id="rId11"/>
      <w:footerReference w:type="first" r:id="rId12"/>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A4282" w14:textId="77777777" w:rsidR="00C65334" w:rsidRDefault="00C65334" w:rsidP="00572EAE">
      <w:pPr>
        <w:spacing w:after="0"/>
      </w:pPr>
      <w:r>
        <w:separator/>
      </w:r>
    </w:p>
  </w:endnote>
  <w:endnote w:type="continuationSeparator" w:id="0">
    <w:p w14:paraId="5632640C" w14:textId="77777777" w:rsidR="00C65334" w:rsidRDefault="00C65334"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dobe Garamond Pro">
    <w:altName w:val="Garamond"/>
    <w:panose1 w:val="020B0604020202020204"/>
    <w:charset w:val="00"/>
    <w:family w:val="roman"/>
    <w:notTrueType/>
    <w:pitch w:val="default"/>
    <w:sig w:usb0="00000003" w:usb1="00000000" w:usb2="00000000" w:usb3="00000000" w:csb0="00000001" w:csb1="00000000"/>
  </w:font>
  <w:font w:name="Rockwell">
    <w:panose1 w:val="020605030202050904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4B9A" w14:textId="47BBF956"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701AFA">
      <w:rPr>
        <w:noProof/>
        <w:sz w:val="18"/>
        <w:szCs w:val="18"/>
      </w:rPr>
      <w:t>7</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025A" w14:textId="77777777" w:rsidR="006E73A1" w:rsidRPr="009600B5" w:rsidRDefault="006E73A1" w:rsidP="006E73A1">
    <w:pPr>
      <w:spacing w:after="0"/>
      <w:rPr>
        <w:rFonts w:ascii="Avenir Book" w:hAnsi="Avenir Book"/>
        <w:color w:val="FF3300"/>
        <w:sz w:val="16"/>
        <w:szCs w:val="16"/>
      </w:rPr>
    </w:pPr>
    <w:bookmarkStart w:id="3" w:name="_Hlk9276988"/>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14:paraId="1DE06E30" w14:textId="7A91FD00" w:rsidR="001E172B" w:rsidRPr="006E73A1" w:rsidRDefault="005E378D" w:rsidP="006E73A1">
    <w:pPr>
      <w:spacing w:before="0" w:after="0"/>
      <w:jc w:val="right"/>
      <w:rPr>
        <w:rFonts w:ascii="Avenir Book" w:hAnsi="Avenir Book"/>
        <w:sz w:val="16"/>
        <w:szCs w:val="16"/>
      </w:rPr>
    </w:pPr>
    <w:r>
      <w:rPr>
        <w:rFonts w:ascii="Avenir Book" w:hAnsi="Avenir Book"/>
        <w:b/>
        <w:noProof/>
        <w:color w:val="262626" w:themeColor="text1" w:themeTint="D9"/>
        <w:sz w:val="16"/>
        <w:szCs w:val="16"/>
      </w:rPr>
      <w:t>WHISTLEBLOWING</w:t>
    </w:r>
    <w:r w:rsidR="006E73A1">
      <w:rPr>
        <w:rFonts w:ascii="Avenir Book" w:hAnsi="Avenir Book"/>
        <w:b/>
        <w:noProof/>
        <w:color w:val="262626" w:themeColor="text1" w:themeTint="D9"/>
        <w:sz w:val="16"/>
        <w:szCs w:val="16"/>
      </w:rPr>
      <w:t xml:space="preserve"> POLICY (Exams)</w:t>
    </w:r>
    <w:r w:rsidR="006E73A1" w:rsidRPr="009600B5">
      <w:rPr>
        <w:rFonts w:ascii="Avenir Book" w:hAnsi="Avenir Book"/>
        <w:b/>
        <w:noProof/>
        <w:color w:val="262626" w:themeColor="text1" w:themeTint="D9"/>
        <w:sz w:val="16"/>
        <w:szCs w:val="16"/>
      </w:rPr>
      <w:t xml:space="preserve"> TEMPLATE </w:t>
    </w:r>
    <w:r w:rsidR="006E73A1" w:rsidRPr="009600B5">
      <w:rPr>
        <w:rFonts w:ascii="Avenir Book" w:hAnsi="Avenir Book"/>
        <w:noProof/>
        <w:color w:val="262626" w:themeColor="text1" w:themeTint="D9"/>
        <w:sz w:val="16"/>
        <w:szCs w:val="16"/>
      </w:rPr>
      <w:t>(202</w:t>
    </w:r>
    <w:r w:rsidR="006962C7">
      <w:rPr>
        <w:rFonts w:ascii="Avenir Book" w:hAnsi="Avenir Book"/>
        <w:noProof/>
        <w:color w:val="262626" w:themeColor="text1" w:themeTint="D9"/>
        <w:sz w:val="16"/>
        <w:szCs w:val="16"/>
      </w:rPr>
      <w:t>4</w:t>
    </w:r>
    <w:r w:rsidR="006E73A1" w:rsidRPr="009600B5">
      <w:rPr>
        <w:rFonts w:ascii="Avenir Book" w:hAnsi="Avenir Book"/>
        <w:noProof/>
        <w:color w:val="262626" w:themeColor="text1" w:themeTint="D9"/>
        <w:sz w:val="16"/>
        <w:szCs w:val="16"/>
      </w:rPr>
      <w:t>/2</w:t>
    </w:r>
    <w:r w:rsidR="006962C7">
      <w:rPr>
        <w:rFonts w:ascii="Avenir Book" w:hAnsi="Avenir Book"/>
        <w:noProof/>
        <w:color w:val="262626" w:themeColor="text1" w:themeTint="D9"/>
        <w:sz w:val="16"/>
        <w:szCs w:val="16"/>
      </w:rPr>
      <w:t>5</w:t>
    </w:r>
    <w:r w:rsidR="006E73A1" w:rsidRPr="009600B5">
      <w:rPr>
        <w:rFonts w:ascii="Avenir Book" w:hAnsi="Avenir Book"/>
        <w:noProof/>
        <w:color w:val="262626" w:themeColor="text1" w:themeTint="D9"/>
        <w:sz w:val="16"/>
        <w:szCs w:val="16"/>
      </w:rPr>
      <w:t>)</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0374F" w14:textId="77777777" w:rsidR="00C65334" w:rsidRDefault="00C65334" w:rsidP="00572EAE">
      <w:pPr>
        <w:spacing w:after="0"/>
      </w:pPr>
      <w:r>
        <w:separator/>
      </w:r>
    </w:p>
  </w:footnote>
  <w:footnote w:type="continuationSeparator" w:id="0">
    <w:p w14:paraId="1E40A1F8" w14:textId="77777777" w:rsidR="00C65334" w:rsidRDefault="00C65334" w:rsidP="00572EAE">
      <w:pPr>
        <w:spacing w:after="0"/>
      </w:pPr>
      <w:r>
        <w:continuationSeparator/>
      </w:r>
    </w:p>
  </w:footnote>
  <w:footnote w:id="1">
    <w:p w14:paraId="5DC23382"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14:paraId="7E3EE8A6"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14:paraId="26E16D43" w14:textId="3DE7A262" w:rsidR="00781287" w:rsidRPr="007D6DF8" w:rsidRDefault="0078128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w:t>
      </w:r>
      <w:r w:rsidR="007D6DF8" w:rsidRPr="007D6DF8">
        <w:rPr>
          <w:rFonts w:ascii="Tahoma" w:hAnsi="Tahoma" w:cs="Tahoma"/>
          <w:sz w:val="18"/>
          <w:szCs w:val="18"/>
        </w:rPr>
        <w:t xml:space="preserve">Reference </w:t>
      </w:r>
      <w:hyperlink r:id="rId3" w:history="1">
        <w:r w:rsidR="007D6DF8" w:rsidRPr="007D6DF8">
          <w:rPr>
            <w:rStyle w:val="Hyperlink"/>
            <w:rFonts w:ascii="Tahoma" w:hAnsi="Tahoma" w:cs="Tahoma"/>
            <w:color w:val="0070C0"/>
            <w:sz w:val="18"/>
            <w:szCs w:val="18"/>
            <w:u w:val="none"/>
          </w:rPr>
          <w:t>www.jcq.org.uk/examination-system/imc-home/</w:t>
        </w:r>
      </w:hyperlink>
      <w:r w:rsidR="007D6DF8" w:rsidRPr="007D6DF8">
        <w:rPr>
          <w:rFonts w:ascii="Tahoma" w:hAnsi="Tahoma" w:cs="Tahoma"/>
          <w:color w:val="0070C0"/>
          <w:sz w:val="18"/>
          <w:szCs w:val="18"/>
        </w:rPr>
        <w:t xml:space="preserve"> </w:t>
      </w:r>
    </w:p>
  </w:footnote>
  <w:footnote w:id="4">
    <w:p w14:paraId="4E70341F" w14:textId="6D7E1D7B" w:rsidR="00840B86" w:rsidRPr="00212B82" w:rsidRDefault="00840B86" w:rsidP="00840B86">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sidR="00437672">
        <w:rPr>
          <w:rFonts w:ascii="Tahoma" w:hAnsi="Tahoma" w:cs="Tahoma"/>
          <w:sz w:val="18"/>
          <w:szCs w:val="18"/>
        </w:rPr>
        <w:t xml:space="preserve">Reference </w:t>
      </w:r>
      <w:hyperlink r:id="rId4" w:history="1">
        <w:r w:rsidR="00437672" w:rsidRPr="00437672">
          <w:rPr>
            <w:rStyle w:val="Hyperlink"/>
            <w:rFonts w:ascii="Tahoma" w:hAnsi="Tahoma" w:cs="Tahoma"/>
            <w:color w:val="0070C0"/>
            <w:sz w:val="18"/>
            <w:szCs w:val="18"/>
            <w:u w:val="none"/>
          </w:rPr>
          <w:t>www.jcq.org.uk/exams-office/malpractice/public-in</w:t>
        </w:r>
        <w:r w:rsidR="00437672" w:rsidRPr="00437672">
          <w:rPr>
            <w:rStyle w:val="Hyperlink"/>
            <w:rFonts w:ascii="Tahoma" w:hAnsi="Tahoma" w:cs="Tahoma"/>
            <w:color w:val="0070C0"/>
            <w:sz w:val="18"/>
            <w:szCs w:val="18"/>
            <w:u w:val="none"/>
          </w:rPr>
          <w:t>t</w:t>
        </w:r>
        <w:r w:rsidR="00437672" w:rsidRPr="00437672">
          <w:rPr>
            <w:rStyle w:val="Hyperlink"/>
            <w:rFonts w:ascii="Tahoma" w:hAnsi="Tahoma" w:cs="Tahoma"/>
            <w:color w:val="0070C0"/>
            <w:sz w:val="18"/>
            <w:szCs w:val="18"/>
            <w:u w:val="none"/>
          </w:rPr>
          <w:t>erest-disclosure-act/</w:t>
        </w:r>
      </w:hyperlink>
      <w:r w:rsidR="00437672" w:rsidRPr="00437672">
        <w:rPr>
          <w:rFonts w:ascii="Tahoma" w:hAnsi="Tahoma" w:cs="Tahoma"/>
          <w:color w:val="0070C0"/>
          <w:sz w:val="18"/>
          <w:szCs w:val="18"/>
        </w:rPr>
        <w:t xml:space="preserve"> </w:t>
      </w:r>
    </w:p>
  </w:footnote>
  <w:footnote w:id="5">
    <w:p w14:paraId="58375AEC" w14:textId="3F48A35D" w:rsidR="00DB1CB3" w:rsidRPr="00DB1CB3" w:rsidRDefault="00DB1CB3">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w:t>
        </w:r>
        <w:r w:rsidRPr="00212B82">
          <w:rPr>
            <w:rStyle w:val="Hyperlink"/>
            <w:rFonts w:ascii="Tahoma" w:hAnsi="Tahoma" w:cs="Tahoma"/>
            <w:color w:val="0070C0"/>
            <w:sz w:val="18"/>
            <w:szCs w:val="18"/>
            <w:u w:val="none"/>
          </w:rPr>
          <w:t>k</w:t>
        </w:r>
        <w:r w:rsidRPr="00212B82">
          <w:rPr>
            <w:rStyle w:val="Hyperlink"/>
            <w:rFonts w:ascii="Tahoma" w:hAnsi="Tahoma" w:cs="Tahoma"/>
            <w:color w:val="0070C0"/>
            <w:sz w:val="18"/>
            <w:szCs w:val="18"/>
            <w:u w:val="none"/>
          </w:rPr>
          <w:t>/ukpga/1998/23/contents</w:t>
        </w:r>
      </w:hyperlink>
      <w:r w:rsidRPr="00212B82">
        <w:rPr>
          <w:rFonts w:ascii="Tahoma" w:hAnsi="Tahoma" w:cs="Tahoma"/>
          <w:color w:val="0070C0"/>
          <w:sz w:val="18"/>
          <w:szCs w:val="18"/>
        </w:rPr>
        <w:t xml:space="preserve"> </w:t>
      </w:r>
    </w:p>
  </w:footnote>
  <w:footnote w:id="6">
    <w:p w14:paraId="159F2E7A" w14:textId="68F5951C" w:rsidR="00437672" w:rsidRPr="00437672" w:rsidRDefault="00437672">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w:t>
        </w:r>
        <w:r w:rsidRPr="00437672">
          <w:rPr>
            <w:rStyle w:val="Hyperlink"/>
            <w:rFonts w:ascii="Tahoma" w:hAnsi="Tahoma" w:cs="Tahoma"/>
            <w:color w:val="0070C0"/>
            <w:sz w:val="18"/>
            <w:szCs w:val="18"/>
            <w:u w:val="none"/>
          </w:rPr>
          <w:t>r</w:t>
        </w:r>
        <w:r w:rsidRPr="00437672">
          <w:rPr>
            <w:rStyle w:val="Hyperlink"/>
            <w:rFonts w:ascii="Tahoma" w:hAnsi="Tahoma" w:cs="Tahoma"/>
            <w:color w:val="0070C0"/>
            <w:sz w:val="18"/>
            <w:szCs w:val="18"/>
            <w:u w:val="none"/>
          </w:rPr>
          <w:t>g.uk/pida/</w:t>
        </w:r>
      </w:hyperlink>
      <w:r w:rsidRPr="00437672">
        <w:rPr>
          <w:rFonts w:ascii="Tahoma" w:hAnsi="Tahoma" w:cs="Tahoma"/>
          <w:color w:val="0070C0"/>
          <w:sz w:val="18"/>
          <w:szCs w:val="18"/>
        </w:rPr>
        <w:t xml:space="preserve"> </w:t>
      </w:r>
    </w:p>
  </w:footnote>
  <w:footnote w:id="7">
    <w:p w14:paraId="418C6101" w14:textId="6D5E64E8"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0031005C" w:rsidRPr="0031005C">
          <w:rPr>
            <w:rStyle w:val="Hyperlink"/>
            <w:rFonts w:ascii="Tahoma" w:hAnsi="Tahoma" w:cs="Tahoma"/>
            <w:color w:val="0070C0"/>
            <w:sz w:val="18"/>
            <w:szCs w:val="18"/>
            <w:u w:val="none"/>
          </w:rPr>
          <w:t>www.ocr.org.uk/administration/general-qualifications/assessme</w:t>
        </w:r>
        <w:r w:rsidR="0031005C" w:rsidRPr="0031005C">
          <w:rPr>
            <w:rStyle w:val="Hyperlink"/>
            <w:rFonts w:ascii="Tahoma" w:hAnsi="Tahoma" w:cs="Tahoma"/>
            <w:color w:val="0070C0"/>
            <w:sz w:val="18"/>
            <w:szCs w:val="18"/>
            <w:u w:val="none"/>
          </w:rPr>
          <w:t>n</w:t>
        </w:r>
        <w:r w:rsidR="0031005C" w:rsidRPr="0031005C">
          <w:rPr>
            <w:rStyle w:val="Hyperlink"/>
            <w:rFonts w:ascii="Tahoma" w:hAnsi="Tahoma" w:cs="Tahoma"/>
            <w:color w:val="0070C0"/>
            <w:sz w:val="18"/>
            <w:szCs w:val="18"/>
            <w:u w:val="none"/>
          </w:rPr>
          <w:t>t/malpractice/whistleblowing/</w:t>
        </w:r>
      </w:hyperlink>
      <w:r w:rsidR="0031005C" w:rsidRPr="0031005C">
        <w:rPr>
          <w:rFonts w:ascii="Tahoma" w:hAnsi="Tahoma" w:cs="Tahoma"/>
          <w:color w:val="0070C0"/>
          <w:sz w:val="18"/>
          <w:szCs w:val="18"/>
        </w:rPr>
        <w:t xml:space="preserve"> </w:t>
      </w:r>
    </w:p>
  </w:footnote>
  <w:footnote w:id="8">
    <w:p w14:paraId="54EAF959" w14:textId="77777777"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w:t>
        </w:r>
        <w:r w:rsidRPr="00BF73AF">
          <w:rPr>
            <w:rStyle w:val="Hyperlink"/>
            <w:rFonts w:ascii="Tahoma" w:hAnsi="Tahoma" w:cs="Tahoma"/>
            <w:color w:val="0070C0"/>
            <w:sz w:val="18"/>
            <w:szCs w:val="18"/>
            <w:u w:val="none"/>
          </w:rPr>
          <w:t>t</w:t>
        </w:r>
        <w:r w:rsidRPr="00BF73AF">
          <w:rPr>
            <w:rStyle w:val="Hyperlink"/>
            <w:rFonts w:ascii="Tahoma" w:hAnsi="Tahoma" w:cs="Tahoma"/>
            <w:color w:val="0070C0"/>
            <w:sz w:val="18"/>
            <w:szCs w:val="18"/>
            <w:u w:val="none"/>
          </w:rPr>
          <w:t>leblowing-policy</w:t>
        </w:r>
      </w:hyperlink>
      <w:r w:rsidRPr="00BF73AF">
        <w:rPr>
          <w:rFonts w:ascii="Tahoma" w:hAnsi="Tahoma" w:cs="Tahoma"/>
          <w:color w:val="0070C0"/>
          <w:sz w:val="18"/>
          <w:szCs w:val="18"/>
        </w:rPr>
        <w:t xml:space="preserve"> </w:t>
      </w:r>
    </w:p>
  </w:footnote>
  <w:footnote w:id="9">
    <w:p w14:paraId="3474FB84" w14:textId="46487F04" w:rsidR="004D0862" w:rsidRPr="003A1D32" w:rsidRDefault="004D0862">
      <w:pPr>
        <w:pStyle w:val="FootnoteText"/>
        <w:rPr>
          <w:rFonts w:ascii="Tahoma" w:hAnsi="Tahoma" w:cs="Tahoma"/>
          <w:sz w:val="18"/>
          <w:szCs w:val="18"/>
        </w:rPr>
      </w:pPr>
      <w:r w:rsidRPr="003A1D32">
        <w:rPr>
          <w:rStyle w:val="FootnoteReference"/>
          <w:rFonts w:ascii="Tahoma" w:hAnsi="Tahoma" w:cs="Tahoma"/>
          <w:sz w:val="18"/>
          <w:szCs w:val="18"/>
        </w:rPr>
        <w:footnoteRef/>
      </w:r>
      <w:r w:rsidRPr="003A1D32">
        <w:rPr>
          <w:rFonts w:ascii="Tahoma" w:hAnsi="Tahoma" w:cs="Tahoma"/>
          <w:sz w:val="18"/>
          <w:szCs w:val="18"/>
        </w:rPr>
        <w:t xml:space="preserve"> Reference </w:t>
      </w:r>
      <w:hyperlink r:id="rId9" w:history="1">
        <w:r w:rsidRPr="003A1D32">
          <w:rPr>
            <w:rStyle w:val="Hyperlink"/>
            <w:rFonts w:ascii="Tahoma" w:hAnsi="Tahoma" w:cs="Tahoma"/>
            <w:color w:val="0070C0"/>
            <w:sz w:val="18"/>
            <w:szCs w:val="18"/>
            <w:u w:val="none"/>
          </w:rPr>
          <w:t>www.gov.uk/government/publications/blowing-the-whistl</w:t>
        </w:r>
        <w:r w:rsidRPr="003A1D32">
          <w:rPr>
            <w:rStyle w:val="Hyperlink"/>
            <w:rFonts w:ascii="Tahoma" w:hAnsi="Tahoma" w:cs="Tahoma"/>
            <w:color w:val="0070C0"/>
            <w:sz w:val="18"/>
            <w:szCs w:val="18"/>
            <w:u w:val="none"/>
          </w:rPr>
          <w:t>e</w:t>
        </w:r>
        <w:r w:rsidRPr="003A1D32">
          <w:rPr>
            <w:rStyle w:val="Hyperlink"/>
            <w:rFonts w:ascii="Tahoma" w:hAnsi="Tahoma" w:cs="Tahoma"/>
            <w:color w:val="0070C0"/>
            <w:sz w:val="18"/>
            <w:szCs w:val="18"/>
            <w:u w:val="none"/>
          </w:rPr>
          <w:t>-list-of-prescribed-people-and-bodies--2/whistleblowing-list-of-prescribed-people-and-bodies</w:t>
        </w:r>
      </w:hyperlink>
      <w:r w:rsidRPr="003A1D32">
        <w:rPr>
          <w:rFonts w:ascii="Tahoma" w:hAnsi="Tahoma" w:cs="Tahoma"/>
          <w:color w:val="0070C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5E4"/>
    <w:multiLevelType w:val="hybridMultilevel"/>
    <w:tmpl w:val="AE0EEBAA"/>
    <w:lvl w:ilvl="0" w:tplc="0EE0F7B8">
      <w:start w:val="1"/>
      <w:numFmt w:val="bullet"/>
      <w:lvlText w:val=""/>
      <w:lvlJc w:val="left"/>
      <w:pPr>
        <w:ind w:left="720" w:hanging="360"/>
      </w:pPr>
      <w:rPr>
        <w:rFonts w:ascii="Symbol" w:hAnsi="Symbol"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733F"/>
    <w:multiLevelType w:val="hybridMultilevel"/>
    <w:tmpl w:val="022A4EC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5AA7"/>
    <w:multiLevelType w:val="hybridMultilevel"/>
    <w:tmpl w:val="E73465F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270A"/>
    <w:multiLevelType w:val="hybridMultilevel"/>
    <w:tmpl w:val="A88441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76F"/>
    <w:multiLevelType w:val="multilevel"/>
    <w:tmpl w:val="F8D0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9C6"/>
    <w:multiLevelType w:val="multilevel"/>
    <w:tmpl w:val="56E64E72"/>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E213E"/>
    <w:multiLevelType w:val="multilevel"/>
    <w:tmpl w:val="ECB2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837A92"/>
    <w:multiLevelType w:val="hybridMultilevel"/>
    <w:tmpl w:val="1CD689E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A1723"/>
    <w:multiLevelType w:val="hybridMultilevel"/>
    <w:tmpl w:val="AFA6066E"/>
    <w:lvl w:ilvl="0" w:tplc="FFFFFFFF">
      <w:start w:val="1"/>
      <w:numFmt w:val="bullet"/>
      <w:lvlText w:val=""/>
      <w:lvlJc w:val="left"/>
      <w:pPr>
        <w:ind w:left="720" w:hanging="360"/>
      </w:pPr>
      <w:rPr>
        <w:rFonts w:ascii="Symbol" w:hAnsi="Symbol" w:hint="default"/>
        <w:color w:val="000099"/>
        <w:sz w:val="22"/>
        <w:szCs w:val="28"/>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9E5B22"/>
    <w:multiLevelType w:val="hybridMultilevel"/>
    <w:tmpl w:val="EE527C46"/>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0421D"/>
    <w:multiLevelType w:val="hybridMultilevel"/>
    <w:tmpl w:val="89F6458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82EB0"/>
    <w:multiLevelType w:val="hybridMultilevel"/>
    <w:tmpl w:val="8F5C48C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26BD7"/>
    <w:multiLevelType w:val="multilevel"/>
    <w:tmpl w:val="3EB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323BE"/>
    <w:multiLevelType w:val="hybridMultilevel"/>
    <w:tmpl w:val="E584AD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D5810"/>
    <w:multiLevelType w:val="multilevel"/>
    <w:tmpl w:val="63CC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759C7"/>
    <w:multiLevelType w:val="hybridMultilevel"/>
    <w:tmpl w:val="C07255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C707B"/>
    <w:multiLevelType w:val="hybridMultilevel"/>
    <w:tmpl w:val="FB14DF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44141"/>
    <w:multiLevelType w:val="hybridMultilevel"/>
    <w:tmpl w:val="48E271D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C5CF0"/>
    <w:multiLevelType w:val="hybridMultilevel"/>
    <w:tmpl w:val="61C089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42A31"/>
    <w:multiLevelType w:val="hybridMultilevel"/>
    <w:tmpl w:val="A9DCDDCE"/>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B4D95"/>
    <w:multiLevelType w:val="hybridMultilevel"/>
    <w:tmpl w:val="108AD0D0"/>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33DDF"/>
    <w:multiLevelType w:val="hybridMultilevel"/>
    <w:tmpl w:val="A922F46E"/>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6273BD"/>
    <w:multiLevelType w:val="hybridMultilevel"/>
    <w:tmpl w:val="C9508CD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B27E3"/>
    <w:multiLevelType w:val="multilevel"/>
    <w:tmpl w:val="E9F26BAA"/>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66F24"/>
    <w:multiLevelType w:val="hybridMultilevel"/>
    <w:tmpl w:val="0792DF80"/>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0069C"/>
    <w:multiLevelType w:val="hybridMultilevel"/>
    <w:tmpl w:val="72BAC3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37413">
    <w:abstractNumId w:val="14"/>
  </w:num>
  <w:num w:numId="2" w16cid:durableId="120198719">
    <w:abstractNumId w:val="28"/>
  </w:num>
  <w:num w:numId="3" w16cid:durableId="947393723">
    <w:abstractNumId w:val="26"/>
  </w:num>
  <w:num w:numId="4" w16cid:durableId="142233189">
    <w:abstractNumId w:val="30"/>
  </w:num>
  <w:num w:numId="5" w16cid:durableId="2064864918">
    <w:abstractNumId w:val="6"/>
  </w:num>
  <w:num w:numId="6" w16cid:durableId="1972244357">
    <w:abstractNumId w:val="20"/>
  </w:num>
  <w:num w:numId="7" w16cid:durableId="36052712">
    <w:abstractNumId w:val="3"/>
  </w:num>
  <w:num w:numId="8" w16cid:durableId="347147342">
    <w:abstractNumId w:val="4"/>
  </w:num>
  <w:num w:numId="9" w16cid:durableId="1974366869">
    <w:abstractNumId w:val="23"/>
  </w:num>
  <w:num w:numId="10" w16cid:durableId="1666469007">
    <w:abstractNumId w:val="1"/>
  </w:num>
  <w:num w:numId="11" w16cid:durableId="1963804382">
    <w:abstractNumId w:val="2"/>
  </w:num>
  <w:num w:numId="12" w16cid:durableId="1711487808">
    <w:abstractNumId w:val="12"/>
  </w:num>
  <w:num w:numId="13" w16cid:durableId="559370183">
    <w:abstractNumId w:val="27"/>
  </w:num>
  <w:num w:numId="14" w16cid:durableId="54936306">
    <w:abstractNumId w:val="32"/>
  </w:num>
  <w:num w:numId="15" w16cid:durableId="1076240723">
    <w:abstractNumId w:val="10"/>
  </w:num>
  <w:num w:numId="16" w16cid:durableId="603536258">
    <w:abstractNumId w:val="24"/>
  </w:num>
  <w:num w:numId="17" w16cid:durableId="1722513179">
    <w:abstractNumId w:val="15"/>
  </w:num>
  <w:num w:numId="18" w16cid:durableId="498542589">
    <w:abstractNumId w:val="17"/>
  </w:num>
  <w:num w:numId="19" w16cid:durableId="1043213107">
    <w:abstractNumId w:val="21"/>
  </w:num>
  <w:num w:numId="20" w16cid:durableId="1416898227">
    <w:abstractNumId w:val="31"/>
  </w:num>
  <w:num w:numId="21" w16cid:durableId="11878005">
    <w:abstractNumId w:val="25"/>
  </w:num>
  <w:num w:numId="22" w16cid:durableId="1202673444">
    <w:abstractNumId w:val="5"/>
  </w:num>
  <w:num w:numId="23" w16cid:durableId="747727765">
    <w:abstractNumId w:val="22"/>
  </w:num>
  <w:num w:numId="24" w16cid:durableId="112135126">
    <w:abstractNumId w:val="16"/>
  </w:num>
  <w:num w:numId="25" w16cid:durableId="1774550029">
    <w:abstractNumId w:val="34"/>
  </w:num>
  <w:num w:numId="26" w16cid:durableId="1971400720">
    <w:abstractNumId w:val="0"/>
  </w:num>
  <w:num w:numId="27" w16cid:durableId="1277516676">
    <w:abstractNumId w:val="29"/>
  </w:num>
  <w:num w:numId="28" w16cid:durableId="1469467675">
    <w:abstractNumId w:val="18"/>
  </w:num>
  <w:num w:numId="29" w16cid:durableId="247230951">
    <w:abstractNumId w:val="13"/>
  </w:num>
  <w:num w:numId="30" w16cid:durableId="1942764493">
    <w:abstractNumId w:val="7"/>
  </w:num>
  <w:num w:numId="31" w16cid:durableId="948198689">
    <w:abstractNumId w:val="19"/>
  </w:num>
  <w:num w:numId="32" w16cid:durableId="1802765691">
    <w:abstractNumId w:val="33"/>
  </w:num>
  <w:num w:numId="33" w16cid:durableId="1651667920">
    <w:abstractNumId w:val="9"/>
  </w:num>
  <w:num w:numId="34" w16cid:durableId="1619068294">
    <w:abstractNumId w:val="8"/>
  </w:num>
  <w:num w:numId="35" w16cid:durableId="135472409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076A9"/>
    <w:rsid w:val="00012A1D"/>
    <w:rsid w:val="000134FC"/>
    <w:rsid w:val="0001520F"/>
    <w:rsid w:val="00017704"/>
    <w:rsid w:val="0001770D"/>
    <w:rsid w:val="000201A0"/>
    <w:rsid w:val="00020991"/>
    <w:rsid w:val="00021ACB"/>
    <w:rsid w:val="00025DAF"/>
    <w:rsid w:val="000265A8"/>
    <w:rsid w:val="000303B0"/>
    <w:rsid w:val="0003095E"/>
    <w:rsid w:val="00036206"/>
    <w:rsid w:val="0003799B"/>
    <w:rsid w:val="000409C9"/>
    <w:rsid w:val="000412D6"/>
    <w:rsid w:val="000434F8"/>
    <w:rsid w:val="000441B5"/>
    <w:rsid w:val="000445FF"/>
    <w:rsid w:val="00044888"/>
    <w:rsid w:val="00045172"/>
    <w:rsid w:val="0004576F"/>
    <w:rsid w:val="000459D4"/>
    <w:rsid w:val="00045EAC"/>
    <w:rsid w:val="00047D77"/>
    <w:rsid w:val="000509F3"/>
    <w:rsid w:val="00051575"/>
    <w:rsid w:val="00051F51"/>
    <w:rsid w:val="0005591C"/>
    <w:rsid w:val="0005650A"/>
    <w:rsid w:val="00056ECD"/>
    <w:rsid w:val="000609D4"/>
    <w:rsid w:val="00062988"/>
    <w:rsid w:val="00062A7B"/>
    <w:rsid w:val="00064F02"/>
    <w:rsid w:val="000709D9"/>
    <w:rsid w:val="00073C41"/>
    <w:rsid w:val="00074A36"/>
    <w:rsid w:val="000750AD"/>
    <w:rsid w:val="000800DE"/>
    <w:rsid w:val="00080423"/>
    <w:rsid w:val="000831C0"/>
    <w:rsid w:val="0008421E"/>
    <w:rsid w:val="00086102"/>
    <w:rsid w:val="000875A7"/>
    <w:rsid w:val="0009252E"/>
    <w:rsid w:val="00097CF9"/>
    <w:rsid w:val="000A1629"/>
    <w:rsid w:val="000A6652"/>
    <w:rsid w:val="000B0453"/>
    <w:rsid w:val="000B29C9"/>
    <w:rsid w:val="000B6E85"/>
    <w:rsid w:val="000C118C"/>
    <w:rsid w:val="000D12FC"/>
    <w:rsid w:val="000D1C29"/>
    <w:rsid w:val="000D35A7"/>
    <w:rsid w:val="000D60C0"/>
    <w:rsid w:val="000E1253"/>
    <w:rsid w:val="000E2548"/>
    <w:rsid w:val="000E27A5"/>
    <w:rsid w:val="000F34BD"/>
    <w:rsid w:val="000F5577"/>
    <w:rsid w:val="000F5B95"/>
    <w:rsid w:val="000F608F"/>
    <w:rsid w:val="00100BEF"/>
    <w:rsid w:val="0010387F"/>
    <w:rsid w:val="00105BF2"/>
    <w:rsid w:val="00107872"/>
    <w:rsid w:val="00111617"/>
    <w:rsid w:val="00113BA4"/>
    <w:rsid w:val="00115458"/>
    <w:rsid w:val="00120DC6"/>
    <w:rsid w:val="00121EF4"/>
    <w:rsid w:val="00124927"/>
    <w:rsid w:val="001308B6"/>
    <w:rsid w:val="00133C23"/>
    <w:rsid w:val="00133C8A"/>
    <w:rsid w:val="00134173"/>
    <w:rsid w:val="001345C8"/>
    <w:rsid w:val="00136AC1"/>
    <w:rsid w:val="00142BCC"/>
    <w:rsid w:val="00143D8E"/>
    <w:rsid w:val="00147130"/>
    <w:rsid w:val="0014735C"/>
    <w:rsid w:val="001533D9"/>
    <w:rsid w:val="001551B3"/>
    <w:rsid w:val="00155584"/>
    <w:rsid w:val="00161BEB"/>
    <w:rsid w:val="001673CF"/>
    <w:rsid w:val="00170231"/>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0FDD"/>
    <w:rsid w:val="001A24D6"/>
    <w:rsid w:val="001A57D2"/>
    <w:rsid w:val="001B0600"/>
    <w:rsid w:val="001B3F57"/>
    <w:rsid w:val="001B42C8"/>
    <w:rsid w:val="001B51BC"/>
    <w:rsid w:val="001B635E"/>
    <w:rsid w:val="001C12A2"/>
    <w:rsid w:val="001C1D90"/>
    <w:rsid w:val="001C2CAB"/>
    <w:rsid w:val="001D189E"/>
    <w:rsid w:val="001E172B"/>
    <w:rsid w:val="001F0350"/>
    <w:rsid w:val="001F0C28"/>
    <w:rsid w:val="001F4DD8"/>
    <w:rsid w:val="001F59AD"/>
    <w:rsid w:val="001F7769"/>
    <w:rsid w:val="00200ABE"/>
    <w:rsid w:val="00202AFA"/>
    <w:rsid w:val="0020477E"/>
    <w:rsid w:val="00212B82"/>
    <w:rsid w:val="0021365B"/>
    <w:rsid w:val="00214318"/>
    <w:rsid w:val="00214342"/>
    <w:rsid w:val="00214CB1"/>
    <w:rsid w:val="002161E9"/>
    <w:rsid w:val="002301A0"/>
    <w:rsid w:val="002322D1"/>
    <w:rsid w:val="00235A00"/>
    <w:rsid w:val="0023628E"/>
    <w:rsid w:val="0023656E"/>
    <w:rsid w:val="002416DB"/>
    <w:rsid w:val="002417F2"/>
    <w:rsid w:val="00244FC1"/>
    <w:rsid w:val="00247D1F"/>
    <w:rsid w:val="00250429"/>
    <w:rsid w:val="00250816"/>
    <w:rsid w:val="002522E9"/>
    <w:rsid w:val="0025243A"/>
    <w:rsid w:val="002529FF"/>
    <w:rsid w:val="002543B1"/>
    <w:rsid w:val="00254B9A"/>
    <w:rsid w:val="0025563D"/>
    <w:rsid w:val="0026067D"/>
    <w:rsid w:val="0026639D"/>
    <w:rsid w:val="00267849"/>
    <w:rsid w:val="00271B5D"/>
    <w:rsid w:val="002733F6"/>
    <w:rsid w:val="002747EB"/>
    <w:rsid w:val="00283160"/>
    <w:rsid w:val="00283445"/>
    <w:rsid w:val="002837F1"/>
    <w:rsid w:val="002923DF"/>
    <w:rsid w:val="00294309"/>
    <w:rsid w:val="002978B9"/>
    <w:rsid w:val="00297C0F"/>
    <w:rsid w:val="002A1C13"/>
    <w:rsid w:val="002A26BE"/>
    <w:rsid w:val="002A6DDA"/>
    <w:rsid w:val="002A785C"/>
    <w:rsid w:val="002B169B"/>
    <w:rsid w:val="002B2195"/>
    <w:rsid w:val="002B43AE"/>
    <w:rsid w:val="002B5BE7"/>
    <w:rsid w:val="002B5C08"/>
    <w:rsid w:val="002B6E69"/>
    <w:rsid w:val="002C2931"/>
    <w:rsid w:val="002C5397"/>
    <w:rsid w:val="002C7334"/>
    <w:rsid w:val="002D2DEF"/>
    <w:rsid w:val="002D39BE"/>
    <w:rsid w:val="002D404A"/>
    <w:rsid w:val="002E0A22"/>
    <w:rsid w:val="002E17BE"/>
    <w:rsid w:val="002E233C"/>
    <w:rsid w:val="002E53FB"/>
    <w:rsid w:val="002E61A2"/>
    <w:rsid w:val="002F16B9"/>
    <w:rsid w:val="002F1E6E"/>
    <w:rsid w:val="002F26D1"/>
    <w:rsid w:val="002F729A"/>
    <w:rsid w:val="00307AC1"/>
    <w:rsid w:val="0031005C"/>
    <w:rsid w:val="0031083C"/>
    <w:rsid w:val="00311862"/>
    <w:rsid w:val="00312CBF"/>
    <w:rsid w:val="00315991"/>
    <w:rsid w:val="0032363C"/>
    <w:rsid w:val="003243FE"/>
    <w:rsid w:val="00324E98"/>
    <w:rsid w:val="0032654B"/>
    <w:rsid w:val="0033123E"/>
    <w:rsid w:val="00331254"/>
    <w:rsid w:val="00331564"/>
    <w:rsid w:val="00332831"/>
    <w:rsid w:val="0033527D"/>
    <w:rsid w:val="003365DA"/>
    <w:rsid w:val="00336B42"/>
    <w:rsid w:val="00337BC6"/>
    <w:rsid w:val="003433A9"/>
    <w:rsid w:val="00343A24"/>
    <w:rsid w:val="00345C58"/>
    <w:rsid w:val="00345E7A"/>
    <w:rsid w:val="003471BA"/>
    <w:rsid w:val="00352E65"/>
    <w:rsid w:val="00354F5C"/>
    <w:rsid w:val="00355B6B"/>
    <w:rsid w:val="00356850"/>
    <w:rsid w:val="00356A3E"/>
    <w:rsid w:val="00361088"/>
    <w:rsid w:val="003667B9"/>
    <w:rsid w:val="00375CE7"/>
    <w:rsid w:val="003760E1"/>
    <w:rsid w:val="0037684F"/>
    <w:rsid w:val="00381559"/>
    <w:rsid w:val="00392945"/>
    <w:rsid w:val="00393116"/>
    <w:rsid w:val="0039606C"/>
    <w:rsid w:val="003A128A"/>
    <w:rsid w:val="003A183A"/>
    <w:rsid w:val="003A1D32"/>
    <w:rsid w:val="003A413B"/>
    <w:rsid w:val="003A55AC"/>
    <w:rsid w:val="003A62A8"/>
    <w:rsid w:val="003A6976"/>
    <w:rsid w:val="003B0B55"/>
    <w:rsid w:val="003B23CF"/>
    <w:rsid w:val="003B4F45"/>
    <w:rsid w:val="003C1B1D"/>
    <w:rsid w:val="003C1E94"/>
    <w:rsid w:val="003D4CFA"/>
    <w:rsid w:val="003D6C61"/>
    <w:rsid w:val="003D78DD"/>
    <w:rsid w:val="003E1B12"/>
    <w:rsid w:val="003E5898"/>
    <w:rsid w:val="003E5BF3"/>
    <w:rsid w:val="003E66EC"/>
    <w:rsid w:val="003F08A6"/>
    <w:rsid w:val="003F54FB"/>
    <w:rsid w:val="003F5E28"/>
    <w:rsid w:val="003F66FE"/>
    <w:rsid w:val="004172F8"/>
    <w:rsid w:val="00420DEB"/>
    <w:rsid w:val="0042211B"/>
    <w:rsid w:val="004250C5"/>
    <w:rsid w:val="004253DB"/>
    <w:rsid w:val="004260D5"/>
    <w:rsid w:val="004314F6"/>
    <w:rsid w:val="00432C92"/>
    <w:rsid w:val="004374FD"/>
    <w:rsid w:val="00437672"/>
    <w:rsid w:val="00437F62"/>
    <w:rsid w:val="004410F0"/>
    <w:rsid w:val="0044218B"/>
    <w:rsid w:val="0045187F"/>
    <w:rsid w:val="0045394B"/>
    <w:rsid w:val="00453A8A"/>
    <w:rsid w:val="00453B51"/>
    <w:rsid w:val="00454711"/>
    <w:rsid w:val="00456C91"/>
    <w:rsid w:val="00462CDE"/>
    <w:rsid w:val="00462EFB"/>
    <w:rsid w:val="00467F9B"/>
    <w:rsid w:val="004738FF"/>
    <w:rsid w:val="00473D52"/>
    <w:rsid w:val="00484DD9"/>
    <w:rsid w:val="00494531"/>
    <w:rsid w:val="00494A0C"/>
    <w:rsid w:val="00495501"/>
    <w:rsid w:val="004A2E20"/>
    <w:rsid w:val="004A4C84"/>
    <w:rsid w:val="004A5171"/>
    <w:rsid w:val="004A64CC"/>
    <w:rsid w:val="004A6AFB"/>
    <w:rsid w:val="004B0FDD"/>
    <w:rsid w:val="004B1115"/>
    <w:rsid w:val="004B35E1"/>
    <w:rsid w:val="004B4611"/>
    <w:rsid w:val="004B4DA2"/>
    <w:rsid w:val="004B5B29"/>
    <w:rsid w:val="004C3462"/>
    <w:rsid w:val="004C6683"/>
    <w:rsid w:val="004D086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17FD"/>
    <w:rsid w:val="00545C91"/>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56AB"/>
    <w:rsid w:val="00587DFA"/>
    <w:rsid w:val="0059053A"/>
    <w:rsid w:val="00593102"/>
    <w:rsid w:val="00593745"/>
    <w:rsid w:val="00595C4E"/>
    <w:rsid w:val="005977EF"/>
    <w:rsid w:val="005A05DA"/>
    <w:rsid w:val="005A1F33"/>
    <w:rsid w:val="005B0758"/>
    <w:rsid w:val="005B411E"/>
    <w:rsid w:val="005C2C9F"/>
    <w:rsid w:val="005C50FE"/>
    <w:rsid w:val="005D0DCE"/>
    <w:rsid w:val="005D100D"/>
    <w:rsid w:val="005D59B7"/>
    <w:rsid w:val="005E2B3B"/>
    <w:rsid w:val="005E378D"/>
    <w:rsid w:val="005E45DB"/>
    <w:rsid w:val="005E533D"/>
    <w:rsid w:val="005E6B8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1D48"/>
    <w:rsid w:val="00612E2C"/>
    <w:rsid w:val="00614A9A"/>
    <w:rsid w:val="00615715"/>
    <w:rsid w:val="0061657F"/>
    <w:rsid w:val="0062205F"/>
    <w:rsid w:val="0062332E"/>
    <w:rsid w:val="0062440C"/>
    <w:rsid w:val="00625652"/>
    <w:rsid w:val="00631D0C"/>
    <w:rsid w:val="00632F46"/>
    <w:rsid w:val="00633272"/>
    <w:rsid w:val="0063364B"/>
    <w:rsid w:val="00633D90"/>
    <w:rsid w:val="0063471E"/>
    <w:rsid w:val="00634B89"/>
    <w:rsid w:val="006372CD"/>
    <w:rsid w:val="00640147"/>
    <w:rsid w:val="00640233"/>
    <w:rsid w:val="00640F75"/>
    <w:rsid w:val="006427D8"/>
    <w:rsid w:val="0064770E"/>
    <w:rsid w:val="00654BCB"/>
    <w:rsid w:val="00662A0F"/>
    <w:rsid w:val="00662D48"/>
    <w:rsid w:val="00664ECA"/>
    <w:rsid w:val="006653DA"/>
    <w:rsid w:val="006657BB"/>
    <w:rsid w:val="00680AD4"/>
    <w:rsid w:val="00681B77"/>
    <w:rsid w:val="00682C3D"/>
    <w:rsid w:val="0068481A"/>
    <w:rsid w:val="00687863"/>
    <w:rsid w:val="00694417"/>
    <w:rsid w:val="00694519"/>
    <w:rsid w:val="006962C7"/>
    <w:rsid w:val="006968D9"/>
    <w:rsid w:val="0069792B"/>
    <w:rsid w:val="0069794D"/>
    <w:rsid w:val="006A01D8"/>
    <w:rsid w:val="006A3D22"/>
    <w:rsid w:val="006A6530"/>
    <w:rsid w:val="006B14BE"/>
    <w:rsid w:val="006B6575"/>
    <w:rsid w:val="006C4285"/>
    <w:rsid w:val="006C5808"/>
    <w:rsid w:val="006C6C4A"/>
    <w:rsid w:val="006D281C"/>
    <w:rsid w:val="006D562D"/>
    <w:rsid w:val="006D57D5"/>
    <w:rsid w:val="006D78ED"/>
    <w:rsid w:val="006E48DE"/>
    <w:rsid w:val="006E619E"/>
    <w:rsid w:val="006E73A1"/>
    <w:rsid w:val="006F2CCE"/>
    <w:rsid w:val="006F403C"/>
    <w:rsid w:val="006F4870"/>
    <w:rsid w:val="006F6831"/>
    <w:rsid w:val="006F6A41"/>
    <w:rsid w:val="00700093"/>
    <w:rsid w:val="007009B9"/>
    <w:rsid w:val="00701AFA"/>
    <w:rsid w:val="00701CBE"/>
    <w:rsid w:val="00704378"/>
    <w:rsid w:val="00707BF7"/>
    <w:rsid w:val="007138D5"/>
    <w:rsid w:val="007149C2"/>
    <w:rsid w:val="00721AE5"/>
    <w:rsid w:val="00722300"/>
    <w:rsid w:val="00727EC1"/>
    <w:rsid w:val="00731803"/>
    <w:rsid w:val="0073293D"/>
    <w:rsid w:val="007345F9"/>
    <w:rsid w:val="007360FA"/>
    <w:rsid w:val="007362F4"/>
    <w:rsid w:val="007376B2"/>
    <w:rsid w:val="00740446"/>
    <w:rsid w:val="00740A1A"/>
    <w:rsid w:val="00740E30"/>
    <w:rsid w:val="00740F4E"/>
    <w:rsid w:val="007424C5"/>
    <w:rsid w:val="00742511"/>
    <w:rsid w:val="00742656"/>
    <w:rsid w:val="00742793"/>
    <w:rsid w:val="007469CC"/>
    <w:rsid w:val="00751D49"/>
    <w:rsid w:val="00761A14"/>
    <w:rsid w:val="007628E6"/>
    <w:rsid w:val="00762B68"/>
    <w:rsid w:val="00767A91"/>
    <w:rsid w:val="00773F86"/>
    <w:rsid w:val="007753C0"/>
    <w:rsid w:val="00775ECC"/>
    <w:rsid w:val="00781287"/>
    <w:rsid w:val="007824AD"/>
    <w:rsid w:val="00786569"/>
    <w:rsid w:val="0079528C"/>
    <w:rsid w:val="00795C58"/>
    <w:rsid w:val="007960EF"/>
    <w:rsid w:val="00796C9C"/>
    <w:rsid w:val="007976BE"/>
    <w:rsid w:val="00797892"/>
    <w:rsid w:val="007A4032"/>
    <w:rsid w:val="007A6098"/>
    <w:rsid w:val="007A6180"/>
    <w:rsid w:val="007A64E4"/>
    <w:rsid w:val="007A7BA8"/>
    <w:rsid w:val="007B630D"/>
    <w:rsid w:val="007B6699"/>
    <w:rsid w:val="007B7176"/>
    <w:rsid w:val="007C0C8C"/>
    <w:rsid w:val="007C2873"/>
    <w:rsid w:val="007C3638"/>
    <w:rsid w:val="007C50C2"/>
    <w:rsid w:val="007D5FE6"/>
    <w:rsid w:val="007D6735"/>
    <w:rsid w:val="007D69DE"/>
    <w:rsid w:val="007D6DF8"/>
    <w:rsid w:val="007E5312"/>
    <w:rsid w:val="007E57A3"/>
    <w:rsid w:val="007E5845"/>
    <w:rsid w:val="007F0F3B"/>
    <w:rsid w:val="007F2720"/>
    <w:rsid w:val="007F54A9"/>
    <w:rsid w:val="007F5F63"/>
    <w:rsid w:val="007F699A"/>
    <w:rsid w:val="00802AFC"/>
    <w:rsid w:val="00802B6C"/>
    <w:rsid w:val="0080429F"/>
    <w:rsid w:val="0080729B"/>
    <w:rsid w:val="008073C0"/>
    <w:rsid w:val="00812487"/>
    <w:rsid w:val="00816759"/>
    <w:rsid w:val="00816959"/>
    <w:rsid w:val="00821ACB"/>
    <w:rsid w:val="00821D2B"/>
    <w:rsid w:val="00822C32"/>
    <w:rsid w:val="00823872"/>
    <w:rsid w:val="00825CE7"/>
    <w:rsid w:val="00830017"/>
    <w:rsid w:val="00831112"/>
    <w:rsid w:val="00832892"/>
    <w:rsid w:val="00832A57"/>
    <w:rsid w:val="00832F10"/>
    <w:rsid w:val="00832FEA"/>
    <w:rsid w:val="00834274"/>
    <w:rsid w:val="00835836"/>
    <w:rsid w:val="00840B86"/>
    <w:rsid w:val="008438EF"/>
    <w:rsid w:val="008458D8"/>
    <w:rsid w:val="0084623C"/>
    <w:rsid w:val="008478AB"/>
    <w:rsid w:val="00851803"/>
    <w:rsid w:val="00852366"/>
    <w:rsid w:val="0085438F"/>
    <w:rsid w:val="00856910"/>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655"/>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2A2E"/>
    <w:rsid w:val="008B3A4E"/>
    <w:rsid w:val="008B430B"/>
    <w:rsid w:val="008B50BC"/>
    <w:rsid w:val="008B5B34"/>
    <w:rsid w:val="008B6F89"/>
    <w:rsid w:val="008B718E"/>
    <w:rsid w:val="008C149D"/>
    <w:rsid w:val="008C2B6D"/>
    <w:rsid w:val="008C442D"/>
    <w:rsid w:val="008C66AE"/>
    <w:rsid w:val="008D0AB5"/>
    <w:rsid w:val="008D0EB0"/>
    <w:rsid w:val="008D21F5"/>
    <w:rsid w:val="008D3F1D"/>
    <w:rsid w:val="008D5903"/>
    <w:rsid w:val="008D77AA"/>
    <w:rsid w:val="008E4101"/>
    <w:rsid w:val="008E4A9B"/>
    <w:rsid w:val="008E5C3C"/>
    <w:rsid w:val="008F25CF"/>
    <w:rsid w:val="008F5767"/>
    <w:rsid w:val="00900505"/>
    <w:rsid w:val="00903444"/>
    <w:rsid w:val="00912090"/>
    <w:rsid w:val="00912735"/>
    <w:rsid w:val="0091365A"/>
    <w:rsid w:val="00921C06"/>
    <w:rsid w:val="009223EE"/>
    <w:rsid w:val="0092256A"/>
    <w:rsid w:val="00926C12"/>
    <w:rsid w:val="00930702"/>
    <w:rsid w:val="009344CA"/>
    <w:rsid w:val="009372CC"/>
    <w:rsid w:val="00937C37"/>
    <w:rsid w:val="00937C73"/>
    <w:rsid w:val="009405D5"/>
    <w:rsid w:val="00941340"/>
    <w:rsid w:val="00941B6F"/>
    <w:rsid w:val="00954D08"/>
    <w:rsid w:val="00957564"/>
    <w:rsid w:val="009576A1"/>
    <w:rsid w:val="00960671"/>
    <w:rsid w:val="00961EA6"/>
    <w:rsid w:val="00962C08"/>
    <w:rsid w:val="00962ECE"/>
    <w:rsid w:val="0096617E"/>
    <w:rsid w:val="00972530"/>
    <w:rsid w:val="00972787"/>
    <w:rsid w:val="009739C1"/>
    <w:rsid w:val="00974962"/>
    <w:rsid w:val="00980A01"/>
    <w:rsid w:val="00981424"/>
    <w:rsid w:val="0098197C"/>
    <w:rsid w:val="009832F0"/>
    <w:rsid w:val="009835D2"/>
    <w:rsid w:val="009853DC"/>
    <w:rsid w:val="00986277"/>
    <w:rsid w:val="00993918"/>
    <w:rsid w:val="009959DE"/>
    <w:rsid w:val="009A1353"/>
    <w:rsid w:val="009A1C8C"/>
    <w:rsid w:val="009A4270"/>
    <w:rsid w:val="009A4FD2"/>
    <w:rsid w:val="009B0929"/>
    <w:rsid w:val="009B5963"/>
    <w:rsid w:val="009C4413"/>
    <w:rsid w:val="009C7245"/>
    <w:rsid w:val="009C73CD"/>
    <w:rsid w:val="009C7C8D"/>
    <w:rsid w:val="009D3D37"/>
    <w:rsid w:val="009E022E"/>
    <w:rsid w:val="009E050C"/>
    <w:rsid w:val="009E17EB"/>
    <w:rsid w:val="009E2E89"/>
    <w:rsid w:val="009E3667"/>
    <w:rsid w:val="009E683B"/>
    <w:rsid w:val="009F0C0D"/>
    <w:rsid w:val="009F0FFB"/>
    <w:rsid w:val="009F17AE"/>
    <w:rsid w:val="009F21F3"/>
    <w:rsid w:val="009F3E7A"/>
    <w:rsid w:val="009F530D"/>
    <w:rsid w:val="009F5781"/>
    <w:rsid w:val="009F605A"/>
    <w:rsid w:val="00A0184E"/>
    <w:rsid w:val="00A045AE"/>
    <w:rsid w:val="00A04B5E"/>
    <w:rsid w:val="00A05772"/>
    <w:rsid w:val="00A159A6"/>
    <w:rsid w:val="00A200BD"/>
    <w:rsid w:val="00A23D3B"/>
    <w:rsid w:val="00A26B89"/>
    <w:rsid w:val="00A27B0E"/>
    <w:rsid w:val="00A35C57"/>
    <w:rsid w:val="00A4455C"/>
    <w:rsid w:val="00A45FED"/>
    <w:rsid w:val="00A4607E"/>
    <w:rsid w:val="00A4728A"/>
    <w:rsid w:val="00A510DE"/>
    <w:rsid w:val="00A530FE"/>
    <w:rsid w:val="00A5332D"/>
    <w:rsid w:val="00A575E0"/>
    <w:rsid w:val="00A601CB"/>
    <w:rsid w:val="00A60C3A"/>
    <w:rsid w:val="00A654B7"/>
    <w:rsid w:val="00A65586"/>
    <w:rsid w:val="00A666BC"/>
    <w:rsid w:val="00A679FD"/>
    <w:rsid w:val="00A70BF2"/>
    <w:rsid w:val="00A729AA"/>
    <w:rsid w:val="00A82497"/>
    <w:rsid w:val="00A829DF"/>
    <w:rsid w:val="00A8342B"/>
    <w:rsid w:val="00A848AE"/>
    <w:rsid w:val="00A90A2F"/>
    <w:rsid w:val="00A92FC4"/>
    <w:rsid w:val="00A93234"/>
    <w:rsid w:val="00A95CA5"/>
    <w:rsid w:val="00AA341A"/>
    <w:rsid w:val="00AB2591"/>
    <w:rsid w:val="00AB25BC"/>
    <w:rsid w:val="00AB3768"/>
    <w:rsid w:val="00AC5A86"/>
    <w:rsid w:val="00AC6026"/>
    <w:rsid w:val="00AD18C0"/>
    <w:rsid w:val="00AD6585"/>
    <w:rsid w:val="00AE072B"/>
    <w:rsid w:val="00AE0847"/>
    <w:rsid w:val="00AE4B04"/>
    <w:rsid w:val="00AE5CDB"/>
    <w:rsid w:val="00AE6589"/>
    <w:rsid w:val="00AE6593"/>
    <w:rsid w:val="00AF116E"/>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4AF2"/>
    <w:rsid w:val="00B45B65"/>
    <w:rsid w:val="00B50DAD"/>
    <w:rsid w:val="00B519F1"/>
    <w:rsid w:val="00B56240"/>
    <w:rsid w:val="00B56660"/>
    <w:rsid w:val="00B57186"/>
    <w:rsid w:val="00B57CB5"/>
    <w:rsid w:val="00B57F8F"/>
    <w:rsid w:val="00B64AE7"/>
    <w:rsid w:val="00B72873"/>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37DB"/>
    <w:rsid w:val="00BC59AD"/>
    <w:rsid w:val="00BC66A3"/>
    <w:rsid w:val="00BC7DFF"/>
    <w:rsid w:val="00BD1550"/>
    <w:rsid w:val="00BD25CE"/>
    <w:rsid w:val="00BD2843"/>
    <w:rsid w:val="00BD2E5E"/>
    <w:rsid w:val="00BD3B0D"/>
    <w:rsid w:val="00BD565A"/>
    <w:rsid w:val="00BD680A"/>
    <w:rsid w:val="00BE09E2"/>
    <w:rsid w:val="00BE1447"/>
    <w:rsid w:val="00BE156E"/>
    <w:rsid w:val="00BE1AA9"/>
    <w:rsid w:val="00BE2D32"/>
    <w:rsid w:val="00BE3C75"/>
    <w:rsid w:val="00BE3DC7"/>
    <w:rsid w:val="00BE46EC"/>
    <w:rsid w:val="00BF0EF1"/>
    <w:rsid w:val="00BF3CF6"/>
    <w:rsid w:val="00BF71D0"/>
    <w:rsid w:val="00BF73AF"/>
    <w:rsid w:val="00BF770C"/>
    <w:rsid w:val="00C01ACC"/>
    <w:rsid w:val="00C03944"/>
    <w:rsid w:val="00C04C77"/>
    <w:rsid w:val="00C16897"/>
    <w:rsid w:val="00C1748B"/>
    <w:rsid w:val="00C1752A"/>
    <w:rsid w:val="00C2050C"/>
    <w:rsid w:val="00C22F7B"/>
    <w:rsid w:val="00C232AA"/>
    <w:rsid w:val="00C25531"/>
    <w:rsid w:val="00C31FBE"/>
    <w:rsid w:val="00C33F31"/>
    <w:rsid w:val="00C34011"/>
    <w:rsid w:val="00C4018B"/>
    <w:rsid w:val="00C43B3F"/>
    <w:rsid w:val="00C43B88"/>
    <w:rsid w:val="00C45527"/>
    <w:rsid w:val="00C45ED1"/>
    <w:rsid w:val="00C47906"/>
    <w:rsid w:val="00C5105D"/>
    <w:rsid w:val="00C51785"/>
    <w:rsid w:val="00C62C00"/>
    <w:rsid w:val="00C65334"/>
    <w:rsid w:val="00C728F2"/>
    <w:rsid w:val="00C75192"/>
    <w:rsid w:val="00C76227"/>
    <w:rsid w:val="00C764C9"/>
    <w:rsid w:val="00C7657F"/>
    <w:rsid w:val="00C77171"/>
    <w:rsid w:val="00C818C7"/>
    <w:rsid w:val="00C8290A"/>
    <w:rsid w:val="00C87545"/>
    <w:rsid w:val="00C87BA4"/>
    <w:rsid w:val="00C90208"/>
    <w:rsid w:val="00C92866"/>
    <w:rsid w:val="00C93416"/>
    <w:rsid w:val="00C943F5"/>
    <w:rsid w:val="00C94BC4"/>
    <w:rsid w:val="00C97509"/>
    <w:rsid w:val="00CA1F82"/>
    <w:rsid w:val="00CB15CC"/>
    <w:rsid w:val="00CB58E0"/>
    <w:rsid w:val="00CC73D0"/>
    <w:rsid w:val="00CD04F8"/>
    <w:rsid w:val="00CD2A41"/>
    <w:rsid w:val="00CD31D5"/>
    <w:rsid w:val="00CD51E5"/>
    <w:rsid w:val="00CE5FF1"/>
    <w:rsid w:val="00CE674A"/>
    <w:rsid w:val="00CE6EDA"/>
    <w:rsid w:val="00CE6F3D"/>
    <w:rsid w:val="00CF12DF"/>
    <w:rsid w:val="00CF1D76"/>
    <w:rsid w:val="00CF1E3F"/>
    <w:rsid w:val="00CF1E70"/>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4DD4"/>
    <w:rsid w:val="00D44F0F"/>
    <w:rsid w:val="00D46078"/>
    <w:rsid w:val="00D46407"/>
    <w:rsid w:val="00D47FDF"/>
    <w:rsid w:val="00D5641E"/>
    <w:rsid w:val="00D663E0"/>
    <w:rsid w:val="00D74EF3"/>
    <w:rsid w:val="00D75A65"/>
    <w:rsid w:val="00D761BB"/>
    <w:rsid w:val="00D77C5A"/>
    <w:rsid w:val="00D804C5"/>
    <w:rsid w:val="00D8214A"/>
    <w:rsid w:val="00D86621"/>
    <w:rsid w:val="00D8706D"/>
    <w:rsid w:val="00D87938"/>
    <w:rsid w:val="00D90D7E"/>
    <w:rsid w:val="00D90F46"/>
    <w:rsid w:val="00D945F9"/>
    <w:rsid w:val="00D9491A"/>
    <w:rsid w:val="00D96B44"/>
    <w:rsid w:val="00DA50BF"/>
    <w:rsid w:val="00DA52B5"/>
    <w:rsid w:val="00DB14EB"/>
    <w:rsid w:val="00DB1CB3"/>
    <w:rsid w:val="00DB1EEA"/>
    <w:rsid w:val="00DB3A38"/>
    <w:rsid w:val="00DB51F8"/>
    <w:rsid w:val="00DB5A0D"/>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4004"/>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3222"/>
    <w:rsid w:val="00E54D59"/>
    <w:rsid w:val="00E5549E"/>
    <w:rsid w:val="00E57AAA"/>
    <w:rsid w:val="00E63330"/>
    <w:rsid w:val="00E65AC7"/>
    <w:rsid w:val="00E66BC4"/>
    <w:rsid w:val="00E705D0"/>
    <w:rsid w:val="00E7358D"/>
    <w:rsid w:val="00E73719"/>
    <w:rsid w:val="00E77F5A"/>
    <w:rsid w:val="00E846FC"/>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D2EBA"/>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467"/>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526"/>
    <w:rsid w:val="00F42687"/>
    <w:rsid w:val="00F45090"/>
    <w:rsid w:val="00F50AA6"/>
    <w:rsid w:val="00F548D0"/>
    <w:rsid w:val="00F55347"/>
    <w:rsid w:val="00F56EA2"/>
    <w:rsid w:val="00F614AD"/>
    <w:rsid w:val="00F642BC"/>
    <w:rsid w:val="00F70428"/>
    <w:rsid w:val="00F707C4"/>
    <w:rsid w:val="00F70A9E"/>
    <w:rsid w:val="00F715C8"/>
    <w:rsid w:val="00F75E16"/>
    <w:rsid w:val="00F77444"/>
    <w:rsid w:val="00F77818"/>
    <w:rsid w:val="00F80F3E"/>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0FB"/>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5"/>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7B630D"/>
    <w:pPr>
      <w:keepNext/>
      <w:keepLines/>
      <w:spacing w:before="240" w:after="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7424C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qFormat/>
    <w:rsid w:val="003D78DD"/>
    <w:pPr>
      <w:ind w:left="720"/>
      <w:contextualSpacing/>
    </w:pPr>
  </w:style>
  <w:style w:type="paragraph" w:customStyle="1" w:styleId="Headinglevel1">
    <w:name w:val="Heading level 1"/>
    <w:basedOn w:val="Normal"/>
    <w:qFormat/>
    <w:rsid w:val="007424C5"/>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7B630D"/>
    <w:rPr>
      <w:rFonts w:ascii="Rockwell" w:eastAsiaTheme="majorEastAsia" w:hAnsi="Rockwell" w:cstheme="majorBidi"/>
      <w:b/>
      <w:bCs/>
      <w:color w:val="4F81BD" w:themeColor="accent1"/>
      <w:sz w:val="24"/>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87545"/>
    <w:rPr>
      <w:color w:val="605E5C"/>
      <w:shd w:val="clear" w:color="auto" w:fill="E1DFDD"/>
    </w:rPr>
  </w:style>
  <w:style w:type="character" w:customStyle="1" w:styleId="ListParagraphChar">
    <w:name w:val="List Paragraph Char"/>
    <w:basedOn w:val="DefaultParagraphFont"/>
    <w:link w:val="ListParagraph"/>
    <w:uiPriority w:val="1"/>
    <w:locked/>
    <w:rsid w:val="00133C8A"/>
    <w:rPr>
      <w:rFonts w:ascii="Tahoma" w:hAnsi="Tahoma"/>
    </w:rPr>
  </w:style>
  <w:style w:type="character" w:customStyle="1" w:styleId="apple-converted-space">
    <w:name w:val="apple-converted-space"/>
    <w:basedOn w:val="DefaultParagraphFont"/>
    <w:rsid w:val="007C0C8C"/>
  </w:style>
  <w:style w:type="paragraph" w:customStyle="1" w:styleId="default-style">
    <w:name w:val="default-style"/>
    <w:basedOn w:val="Normal"/>
    <w:rsid w:val="007C0C8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40B86"/>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840B86"/>
    <w:rPr>
      <w:rFonts w:eastAsiaTheme="minorHAnsi"/>
      <w:sz w:val="20"/>
      <w:szCs w:val="20"/>
      <w:lang w:eastAsia="en-US"/>
    </w:rPr>
  </w:style>
  <w:style w:type="character" w:styleId="FootnoteReference">
    <w:name w:val="footnote reference"/>
    <w:basedOn w:val="DefaultParagraphFont"/>
    <w:uiPriority w:val="99"/>
    <w:semiHidden/>
    <w:unhideWhenUsed/>
    <w:rsid w:val="00840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280">
      <w:bodyDiv w:val="1"/>
      <w:marLeft w:val="0"/>
      <w:marRight w:val="0"/>
      <w:marTop w:val="0"/>
      <w:marBottom w:val="0"/>
      <w:divBdr>
        <w:top w:val="none" w:sz="0" w:space="0" w:color="auto"/>
        <w:left w:val="none" w:sz="0" w:space="0" w:color="auto"/>
        <w:bottom w:val="none" w:sz="0" w:space="0" w:color="auto"/>
        <w:right w:val="none" w:sz="0" w:space="0" w:color="auto"/>
      </w:divBdr>
    </w:div>
    <w:div w:id="243953760">
      <w:bodyDiv w:val="1"/>
      <w:marLeft w:val="0"/>
      <w:marRight w:val="0"/>
      <w:marTop w:val="0"/>
      <w:marBottom w:val="0"/>
      <w:divBdr>
        <w:top w:val="none" w:sz="0" w:space="0" w:color="auto"/>
        <w:left w:val="none" w:sz="0" w:space="0" w:color="auto"/>
        <w:bottom w:val="none" w:sz="0" w:space="0" w:color="auto"/>
        <w:right w:val="none" w:sz="0" w:space="0" w:color="auto"/>
      </w:divBdr>
    </w:div>
    <w:div w:id="508830639">
      <w:bodyDiv w:val="1"/>
      <w:marLeft w:val="0"/>
      <w:marRight w:val="0"/>
      <w:marTop w:val="0"/>
      <w:marBottom w:val="0"/>
      <w:divBdr>
        <w:top w:val="none" w:sz="0" w:space="0" w:color="auto"/>
        <w:left w:val="none" w:sz="0" w:space="0" w:color="auto"/>
        <w:bottom w:val="none" w:sz="0" w:space="0" w:color="auto"/>
        <w:right w:val="none" w:sz="0" w:space="0" w:color="auto"/>
      </w:divBdr>
      <w:divsChild>
        <w:div w:id="488139477">
          <w:marLeft w:val="0"/>
          <w:marRight w:val="0"/>
          <w:marTop w:val="0"/>
          <w:marBottom w:val="0"/>
          <w:divBdr>
            <w:top w:val="none" w:sz="0" w:space="0" w:color="auto"/>
            <w:left w:val="none" w:sz="0" w:space="0" w:color="auto"/>
            <w:bottom w:val="none" w:sz="0" w:space="0" w:color="auto"/>
            <w:right w:val="none" w:sz="0" w:space="0" w:color="auto"/>
          </w:divBdr>
          <w:divsChild>
            <w:div w:id="496115902">
              <w:marLeft w:val="0"/>
              <w:marRight w:val="0"/>
              <w:marTop w:val="0"/>
              <w:marBottom w:val="0"/>
              <w:divBdr>
                <w:top w:val="none" w:sz="0" w:space="0" w:color="auto"/>
                <w:left w:val="none" w:sz="0" w:space="0" w:color="auto"/>
                <w:bottom w:val="none" w:sz="0" w:space="0" w:color="auto"/>
                <w:right w:val="none" w:sz="0" w:space="0" w:color="auto"/>
              </w:divBdr>
              <w:divsChild>
                <w:div w:id="4845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79309537">
      <w:bodyDiv w:val="1"/>
      <w:marLeft w:val="0"/>
      <w:marRight w:val="0"/>
      <w:marTop w:val="0"/>
      <w:marBottom w:val="0"/>
      <w:divBdr>
        <w:top w:val="none" w:sz="0" w:space="0" w:color="auto"/>
        <w:left w:val="none" w:sz="0" w:space="0" w:color="auto"/>
        <w:bottom w:val="none" w:sz="0" w:space="0" w:color="auto"/>
        <w:right w:val="none" w:sz="0" w:space="0" w:color="auto"/>
      </w:divBdr>
    </w:div>
    <w:div w:id="898827011">
      <w:bodyDiv w:val="1"/>
      <w:marLeft w:val="0"/>
      <w:marRight w:val="0"/>
      <w:marTop w:val="0"/>
      <w:marBottom w:val="0"/>
      <w:divBdr>
        <w:top w:val="none" w:sz="0" w:space="0" w:color="auto"/>
        <w:left w:val="none" w:sz="0" w:space="0" w:color="auto"/>
        <w:bottom w:val="none" w:sz="0" w:space="0" w:color="auto"/>
        <w:right w:val="none" w:sz="0" w:space="0" w:color="auto"/>
      </w:divBdr>
      <w:divsChild>
        <w:div w:id="1923484374">
          <w:marLeft w:val="0"/>
          <w:marRight w:val="0"/>
          <w:marTop w:val="0"/>
          <w:marBottom w:val="0"/>
          <w:divBdr>
            <w:top w:val="none" w:sz="0" w:space="0" w:color="auto"/>
            <w:left w:val="none" w:sz="0" w:space="0" w:color="auto"/>
            <w:bottom w:val="none" w:sz="0" w:space="0" w:color="auto"/>
            <w:right w:val="none" w:sz="0" w:space="0" w:color="auto"/>
          </w:divBdr>
          <w:divsChild>
            <w:div w:id="1671983942">
              <w:marLeft w:val="0"/>
              <w:marRight w:val="0"/>
              <w:marTop w:val="0"/>
              <w:marBottom w:val="0"/>
              <w:divBdr>
                <w:top w:val="none" w:sz="0" w:space="0" w:color="auto"/>
                <w:left w:val="none" w:sz="0" w:space="0" w:color="auto"/>
                <w:bottom w:val="none" w:sz="0" w:space="0" w:color="auto"/>
                <w:right w:val="none" w:sz="0" w:space="0" w:color="auto"/>
              </w:divBdr>
              <w:divsChild>
                <w:div w:id="9832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19286">
      <w:bodyDiv w:val="1"/>
      <w:marLeft w:val="0"/>
      <w:marRight w:val="0"/>
      <w:marTop w:val="0"/>
      <w:marBottom w:val="0"/>
      <w:divBdr>
        <w:top w:val="none" w:sz="0" w:space="0" w:color="auto"/>
        <w:left w:val="none" w:sz="0" w:space="0" w:color="auto"/>
        <w:bottom w:val="none" w:sz="0" w:space="0" w:color="auto"/>
        <w:right w:val="none" w:sz="0" w:space="0" w:color="auto"/>
      </w:divBdr>
      <w:divsChild>
        <w:div w:id="70196925">
          <w:marLeft w:val="0"/>
          <w:marRight w:val="0"/>
          <w:marTop w:val="0"/>
          <w:marBottom w:val="0"/>
          <w:divBdr>
            <w:top w:val="none" w:sz="0" w:space="0" w:color="auto"/>
            <w:left w:val="none" w:sz="0" w:space="0" w:color="auto"/>
            <w:bottom w:val="none" w:sz="0" w:space="0" w:color="auto"/>
            <w:right w:val="none" w:sz="0" w:space="0" w:color="auto"/>
          </w:divBdr>
          <w:divsChild>
            <w:div w:id="671032463">
              <w:marLeft w:val="0"/>
              <w:marRight w:val="0"/>
              <w:marTop w:val="0"/>
              <w:marBottom w:val="0"/>
              <w:divBdr>
                <w:top w:val="none" w:sz="0" w:space="0" w:color="auto"/>
                <w:left w:val="none" w:sz="0" w:space="0" w:color="auto"/>
                <w:bottom w:val="none" w:sz="0" w:space="0" w:color="auto"/>
                <w:right w:val="none" w:sz="0" w:space="0" w:color="auto"/>
              </w:divBdr>
              <w:divsChild>
                <w:div w:id="544342151">
                  <w:marLeft w:val="0"/>
                  <w:marRight w:val="0"/>
                  <w:marTop w:val="0"/>
                  <w:marBottom w:val="0"/>
                  <w:divBdr>
                    <w:top w:val="none" w:sz="0" w:space="0" w:color="auto"/>
                    <w:left w:val="none" w:sz="0" w:space="0" w:color="auto"/>
                    <w:bottom w:val="none" w:sz="0" w:space="0" w:color="auto"/>
                    <w:right w:val="none" w:sz="0" w:space="0" w:color="auto"/>
                  </w:divBdr>
                  <w:divsChild>
                    <w:div w:id="486046432">
                      <w:marLeft w:val="0"/>
                      <w:marRight w:val="0"/>
                      <w:marTop w:val="0"/>
                      <w:marBottom w:val="0"/>
                      <w:divBdr>
                        <w:top w:val="none" w:sz="0" w:space="0" w:color="auto"/>
                        <w:left w:val="none" w:sz="0" w:space="0" w:color="auto"/>
                        <w:bottom w:val="none" w:sz="0" w:space="0" w:color="auto"/>
                        <w:right w:val="none" w:sz="0" w:space="0" w:color="auto"/>
                      </w:divBdr>
                      <w:divsChild>
                        <w:div w:id="18559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715">
                  <w:marLeft w:val="0"/>
                  <w:marRight w:val="0"/>
                  <w:marTop w:val="0"/>
                  <w:marBottom w:val="0"/>
                  <w:divBdr>
                    <w:top w:val="none" w:sz="0" w:space="0" w:color="auto"/>
                    <w:left w:val="none" w:sz="0" w:space="0" w:color="auto"/>
                    <w:bottom w:val="none" w:sz="0" w:space="0" w:color="auto"/>
                    <w:right w:val="none" w:sz="0" w:space="0" w:color="auto"/>
                  </w:divBdr>
                  <w:divsChild>
                    <w:div w:id="1074352826">
                      <w:marLeft w:val="0"/>
                      <w:marRight w:val="0"/>
                      <w:marTop w:val="0"/>
                      <w:marBottom w:val="0"/>
                      <w:divBdr>
                        <w:top w:val="none" w:sz="0" w:space="0" w:color="auto"/>
                        <w:left w:val="none" w:sz="0" w:space="0" w:color="auto"/>
                        <w:bottom w:val="none" w:sz="0" w:space="0" w:color="auto"/>
                        <w:right w:val="none" w:sz="0" w:space="0" w:color="auto"/>
                      </w:divBdr>
                      <w:divsChild>
                        <w:div w:id="11275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54508">
      <w:bodyDiv w:val="1"/>
      <w:marLeft w:val="0"/>
      <w:marRight w:val="0"/>
      <w:marTop w:val="0"/>
      <w:marBottom w:val="0"/>
      <w:divBdr>
        <w:top w:val="none" w:sz="0" w:space="0" w:color="auto"/>
        <w:left w:val="none" w:sz="0" w:space="0" w:color="auto"/>
        <w:bottom w:val="none" w:sz="0" w:space="0" w:color="auto"/>
        <w:right w:val="none" w:sz="0" w:space="0" w:color="auto"/>
      </w:divBdr>
    </w:div>
    <w:div w:id="1463887128">
      <w:bodyDiv w:val="1"/>
      <w:marLeft w:val="0"/>
      <w:marRight w:val="0"/>
      <w:marTop w:val="0"/>
      <w:marBottom w:val="0"/>
      <w:divBdr>
        <w:top w:val="none" w:sz="0" w:space="0" w:color="auto"/>
        <w:left w:val="none" w:sz="0" w:space="0" w:color="auto"/>
        <w:bottom w:val="none" w:sz="0" w:space="0" w:color="auto"/>
        <w:right w:val="none" w:sz="0" w:space="0" w:color="auto"/>
      </w:divBdr>
      <w:divsChild>
        <w:div w:id="2017683956">
          <w:marLeft w:val="0"/>
          <w:marRight w:val="0"/>
          <w:marTop w:val="0"/>
          <w:marBottom w:val="0"/>
          <w:divBdr>
            <w:top w:val="none" w:sz="0" w:space="0" w:color="auto"/>
            <w:left w:val="none" w:sz="0" w:space="0" w:color="auto"/>
            <w:bottom w:val="none" w:sz="0" w:space="0" w:color="auto"/>
            <w:right w:val="none" w:sz="0" w:space="0" w:color="auto"/>
          </w:divBdr>
          <w:divsChild>
            <w:div w:id="818695163">
              <w:marLeft w:val="0"/>
              <w:marRight w:val="0"/>
              <w:marTop w:val="0"/>
              <w:marBottom w:val="0"/>
              <w:divBdr>
                <w:top w:val="none" w:sz="0" w:space="0" w:color="auto"/>
                <w:left w:val="none" w:sz="0" w:space="0" w:color="auto"/>
                <w:bottom w:val="none" w:sz="0" w:space="0" w:color="auto"/>
                <w:right w:val="none" w:sz="0" w:space="0" w:color="auto"/>
              </w:divBdr>
              <w:divsChild>
                <w:div w:id="381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789">
      <w:bodyDiv w:val="1"/>
      <w:marLeft w:val="0"/>
      <w:marRight w:val="0"/>
      <w:marTop w:val="0"/>
      <w:marBottom w:val="0"/>
      <w:divBdr>
        <w:top w:val="none" w:sz="0" w:space="0" w:color="auto"/>
        <w:left w:val="none" w:sz="0" w:space="0" w:color="auto"/>
        <w:bottom w:val="none" w:sz="0" w:space="0" w:color="auto"/>
        <w:right w:val="none" w:sz="0" w:space="0" w:color="auto"/>
      </w:divBdr>
      <w:divsChild>
        <w:div w:id="2146465430">
          <w:marLeft w:val="0"/>
          <w:marRight w:val="0"/>
          <w:marTop w:val="0"/>
          <w:marBottom w:val="0"/>
          <w:divBdr>
            <w:top w:val="none" w:sz="0" w:space="0" w:color="auto"/>
            <w:left w:val="none" w:sz="0" w:space="0" w:color="auto"/>
            <w:bottom w:val="none" w:sz="0" w:space="0" w:color="auto"/>
            <w:right w:val="none" w:sz="0" w:space="0" w:color="auto"/>
          </w:divBdr>
        </w:div>
        <w:div w:id="269360449">
          <w:marLeft w:val="0"/>
          <w:marRight w:val="0"/>
          <w:marTop w:val="0"/>
          <w:marBottom w:val="0"/>
          <w:divBdr>
            <w:top w:val="none" w:sz="0" w:space="0" w:color="auto"/>
            <w:left w:val="none" w:sz="0" w:space="0" w:color="auto"/>
            <w:bottom w:val="none" w:sz="0" w:space="0" w:color="auto"/>
            <w:right w:val="none" w:sz="0" w:space="0" w:color="auto"/>
          </w:divBdr>
        </w:div>
        <w:div w:id="1280258351">
          <w:marLeft w:val="0"/>
          <w:marRight w:val="0"/>
          <w:marTop w:val="0"/>
          <w:marBottom w:val="0"/>
          <w:divBdr>
            <w:top w:val="none" w:sz="0" w:space="0" w:color="auto"/>
            <w:left w:val="none" w:sz="0" w:space="0" w:color="auto"/>
            <w:bottom w:val="none" w:sz="0" w:space="0" w:color="auto"/>
            <w:right w:val="none" w:sz="0" w:space="0" w:color="auto"/>
          </w:divBdr>
        </w:div>
        <w:div w:id="2034451441">
          <w:marLeft w:val="0"/>
          <w:marRight w:val="0"/>
          <w:marTop w:val="0"/>
          <w:marBottom w:val="0"/>
          <w:divBdr>
            <w:top w:val="none" w:sz="0" w:space="0" w:color="auto"/>
            <w:left w:val="none" w:sz="0" w:space="0" w:color="auto"/>
            <w:bottom w:val="none" w:sz="0" w:space="0" w:color="auto"/>
            <w:right w:val="none" w:sz="0" w:space="0" w:color="auto"/>
          </w:divBdr>
        </w:div>
        <w:div w:id="313073980">
          <w:marLeft w:val="0"/>
          <w:marRight w:val="0"/>
          <w:marTop w:val="0"/>
          <w:marBottom w:val="0"/>
          <w:divBdr>
            <w:top w:val="none" w:sz="0" w:space="0" w:color="auto"/>
            <w:left w:val="none" w:sz="0" w:space="0" w:color="auto"/>
            <w:bottom w:val="none" w:sz="0" w:space="0" w:color="auto"/>
            <w:right w:val="none" w:sz="0" w:space="0" w:color="auto"/>
          </w:divBdr>
        </w:div>
        <w:div w:id="252931739">
          <w:marLeft w:val="0"/>
          <w:marRight w:val="0"/>
          <w:marTop w:val="0"/>
          <w:marBottom w:val="0"/>
          <w:divBdr>
            <w:top w:val="none" w:sz="0" w:space="0" w:color="auto"/>
            <w:left w:val="none" w:sz="0" w:space="0" w:color="auto"/>
            <w:bottom w:val="none" w:sz="0" w:space="0" w:color="auto"/>
            <w:right w:val="none" w:sz="0" w:space="0" w:color="auto"/>
          </w:divBdr>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0397086">
      <w:bodyDiv w:val="1"/>
      <w:marLeft w:val="0"/>
      <w:marRight w:val="0"/>
      <w:marTop w:val="0"/>
      <w:marBottom w:val="0"/>
      <w:divBdr>
        <w:top w:val="none" w:sz="0" w:space="0" w:color="auto"/>
        <w:left w:val="none" w:sz="0" w:space="0" w:color="auto"/>
        <w:bottom w:val="none" w:sz="0" w:space="0" w:color="auto"/>
        <w:right w:val="none" w:sz="0" w:space="0" w:color="auto"/>
      </w:divBdr>
      <w:divsChild>
        <w:div w:id="362245717">
          <w:marLeft w:val="0"/>
          <w:marRight w:val="0"/>
          <w:marTop w:val="0"/>
          <w:marBottom w:val="0"/>
          <w:divBdr>
            <w:top w:val="none" w:sz="0" w:space="0" w:color="auto"/>
            <w:left w:val="none" w:sz="0" w:space="0" w:color="auto"/>
            <w:bottom w:val="none" w:sz="0" w:space="0" w:color="auto"/>
            <w:right w:val="none" w:sz="0" w:space="0" w:color="auto"/>
          </w:divBdr>
          <w:divsChild>
            <w:div w:id="500050991">
              <w:marLeft w:val="0"/>
              <w:marRight w:val="0"/>
              <w:marTop w:val="0"/>
              <w:marBottom w:val="0"/>
              <w:divBdr>
                <w:top w:val="none" w:sz="0" w:space="0" w:color="auto"/>
                <w:left w:val="none" w:sz="0" w:space="0" w:color="auto"/>
                <w:bottom w:val="none" w:sz="0" w:space="0" w:color="auto"/>
                <w:right w:val="none" w:sz="0" w:space="0" w:color="auto"/>
              </w:divBdr>
              <w:divsChild>
                <w:div w:id="543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2666124">
      <w:bodyDiv w:val="1"/>
      <w:marLeft w:val="0"/>
      <w:marRight w:val="0"/>
      <w:marTop w:val="0"/>
      <w:marBottom w:val="0"/>
      <w:divBdr>
        <w:top w:val="none" w:sz="0" w:space="0" w:color="auto"/>
        <w:left w:val="none" w:sz="0" w:space="0" w:color="auto"/>
        <w:bottom w:val="none" w:sz="0" w:space="0" w:color="auto"/>
        <w:right w:val="none" w:sz="0" w:space="0" w:color="auto"/>
      </w:divBdr>
      <w:divsChild>
        <w:div w:id="1932737917">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sChild>
    </w:div>
    <w:div w:id="2034917390">
      <w:bodyDiv w:val="1"/>
      <w:marLeft w:val="0"/>
      <w:marRight w:val="0"/>
      <w:marTop w:val="0"/>
      <w:marBottom w:val="0"/>
      <w:divBdr>
        <w:top w:val="none" w:sz="0" w:space="0" w:color="auto"/>
        <w:left w:val="none" w:sz="0" w:space="0" w:color="auto"/>
        <w:bottom w:val="none" w:sz="0" w:space="0" w:color="auto"/>
        <w:right w:val="none" w:sz="0" w:space="0" w:color="auto"/>
      </w:divBdr>
      <w:divsChild>
        <w:div w:id="892157889">
          <w:marLeft w:val="0"/>
          <w:marRight w:val="0"/>
          <w:marTop w:val="0"/>
          <w:marBottom w:val="0"/>
          <w:divBdr>
            <w:top w:val="none" w:sz="0" w:space="0" w:color="auto"/>
            <w:left w:val="none" w:sz="0" w:space="0" w:color="auto"/>
            <w:bottom w:val="none" w:sz="0" w:space="0" w:color="auto"/>
            <w:right w:val="none" w:sz="0" w:space="0" w:color="auto"/>
          </w:divBdr>
          <w:divsChild>
            <w:div w:id="569998586">
              <w:marLeft w:val="0"/>
              <w:marRight w:val="0"/>
              <w:marTop w:val="0"/>
              <w:marBottom w:val="0"/>
              <w:divBdr>
                <w:top w:val="none" w:sz="0" w:space="0" w:color="auto"/>
                <w:left w:val="none" w:sz="0" w:space="0" w:color="auto"/>
                <w:bottom w:val="none" w:sz="0" w:space="0" w:color="auto"/>
                <w:right w:val="none" w:sz="0" w:space="0" w:color="auto"/>
              </w:divBdr>
              <w:divsChild>
                <w:div w:id="851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jcq.org.uk/exams-office/general-regulations/" TargetMode="External"/><Relationship Id="rId4" Type="http://schemas.openxmlformats.org/officeDocument/2006/relationships/styles" Target="styles.xml"/><Relationship Id="rId9" Type="http://schemas.openxmlformats.org/officeDocument/2006/relationships/hyperlink" Target="https://www.jcq.org.uk/exams-office/general-regulation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D84EA7-8845-4DB9-A29B-FE9E6F5C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Ken and Jean Passmore</cp:lastModifiedBy>
  <cp:revision>6</cp:revision>
  <dcterms:created xsi:type="dcterms:W3CDTF">2024-08-27T19:10:00Z</dcterms:created>
  <dcterms:modified xsi:type="dcterms:W3CDTF">2024-08-31T20:06:00Z</dcterms:modified>
</cp:coreProperties>
</file>